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6870E3">
        <w:rPr>
          <w:b/>
          <w:sz w:val="24"/>
        </w:rPr>
        <w:t>HEAD acoustics GmbH</w:t>
      </w:r>
      <w:bookmarkStart w:id="0" w:name="_GoBack"/>
      <w:bookmarkEnd w:id="0"/>
    </w:p>
    <w:p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5F3207">
        <w:rPr>
          <w:b/>
          <w:sz w:val="24"/>
        </w:rPr>
        <w:t>Auditory</w:t>
      </w:r>
      <w:r w:rsidR="000B22E8">
        <w:rPr>
          <w:b/>
          <w:sz w:val="24"/>
        </w:rPr>
        <w:t xml:space="preserve"> Assessment of Audio Systems</w:t>
      </w:r>
    </w:p>
    <w:p w:rsidR="00D54E12" w:rsidRPr="006D5CB2" w:rsidRDefault="00D54E12" w:rsidP="0038551D">
      <w:pPr>
        <w:pStyle w:val="berschrift2"/>
        <w:spacing w:line="240" w:lineRule="auto"/>
        <w:rPr>
          <w:lang w:val="en-GB"/>
        </w:rPr>
      </w:pPr>
      <w:r w:rsidRPr="006D5CB2">
        <w:rPr>
          <w:lang w:val="en-GB"/>
        </w:rPr>
        <w:t>Document for:</w:t>
      </w:r>
      <w:r w:rsidRPr="006D5CB2">
        <w:rPr>
          <w:lang w:val="en-GB"/>
        </w:rPr>
        <w:tab/>
      </w:r>
      <w:r w:rsidR="006870E3">
        <w:rPr>
          <w:lang w:val="en-GB"/>
        </w:rPr>
        <w:t>Discussion</w:t>
      </w:r>
      <w:r w:rsidR="00185584" w:rsidRPr="006D5CB2">
        <w:rPr>
          <w:lang w:val="en-GB"/>
        </w:rPr>
        <w:t xml:space="preserve"> </w:t>
      </w:r>
    </w:p>
    <w:p w:rsidR="00D54E12" w:rsidRPr="006D5CB2" w:rsidRDefault="00904F53" w:rsidP="0038551D">
      <w:pPr>
        <w:pStyle w:val="berschrift2"/>
        <w:spacing w:line="240" w:lineRule="auto"/>
        <w:rPr>
          <w:lang w:val="en-GB"/>
        </w:rPr>
      </w:pPr>
      <w:r>
        <w:rPr>
          <w:lang w:val="en-GB"/>
        </w:rPr>
        <w:t>Agenda Item:</w:t>
      </w:r>
      <w:r>
        <w:rPr>
          <w:lang w:val="en-GB"/>
        </w:rPr>
        <w:tab/>
      </w:r>
      <w:r w:rsidR="004F1252">
        <w:rPr>
          <w:lang w:val="en-GB"/>
        </w:rPr>
        <w:t>9.6</w:t>
      </w:r>
    </w:p>
    <w:p w:rsidR="004E2448" w:rsidRDefault="004E2448" w:rsidP="0038551D">
      <w:pPr>
        <w:pBdr>
          <w:top w:val="single" w:sz="12" w:space="1" w:color="auto"/>
        </w:pBdr>
        <w:spacing w:after="0" w:line="240" w:lineRule="auto"/>
        <w:rPr>
          <w:sz w:val="20"/>
        </w:rPr>
      </w:pPr>
    </w:p>
    <w:p w:rsidR="004E2448" w:rsidRPr="00C50FEB" w:rsidRDefault="004E2448" w:rsidP="00C50FEB">
      <w:pPr>
        <w:pStyle w:val="berschrift1"/>
        <w:numPr>
          <w:ilvl w:val="0"/>
          <w:numId w:val="7"/>
        </w:numPr>
        <w:jc w:val="both"/>
        <w:rPr>
          <w:rFonts w:eastAsia="Times New Roman"/>
          <w:b/>
        </w:rPr>
      </w:pPr>
      <w:r w:rsidRPr="00C50FEB">
        <w:rPr>
          <w:rFonts w:eastAsia="Times New Roman"/>
          <w:b/>
        </w:rPr>
        <w:t>Introduction</w:t>
      </w:r>
    </w:p>
    <w:p w:rsidR="005A5D93" w:rsidRDefault="00033ADA">
      <w:pPr>
        <w:rPr>
          <w:lang w:val="en-US"/>
        </w:rPr>
      </w:pPr>
      <w:r>
        <w:rPr>
          <w:lang w:val="en-US"/>
        </w:rPr>
        <w:t xml:space="preserve">The work item LiQuImAS </w:t>
      </w:r>
      <w:sdt>
        <w:sdtPr>
          <w:rPr>
            <w:lang w:val="en-US"/>
          </w:rPr>
          <w:id w:val="1409265474"/>
          <w:citation/>
        </w:sdtPr>
        <w:sdtEndPr/>
        <w:sdtContent>
          <w:r w:rsidR="006E3F1F">
            <w:rPr>
              <w:lang w:val="en-US"/>
            </w:rPr>
            <w:fldChar w:fldCharType="begin"/>
          </w:r>
          <w:r w:rsidR="006E3F1F" w:rsidRPr="00701347">
            <w:rPr>
              <w:lang w:val="en-US"/>
            </w:rPr>
            <w:instrText xml:space="preserve"> CITATION 3GP171 \l 1031 </w:instrText>
          </w:r>
          <w:r w:rsidR="006E3F1F">
            <w:rPr>
              <w:lang w:val="en-US"/>
            </w:rPr>
            <w:fldChar w:fldCharType="separate"/>
          </w:r>
          <w:r w:rsidR="004F3D9A" w:rsidRPr="00701347">
            <w:rPr>
              <w:noProof/>
              <w:lang w:val="en-US"/>
            </w:rPr>
            <w:t>[1]</w:t>
          </w:r>
          <w:r w:rsidR="006E3F1F">
            <w:rPr>
              <w:lang w:val="en-US"/>
            </w:rPr>
            <w:fldChar w:fldCharType="end"/>
          </w:r>
        </w:sdtContent>
      </w:sdt>
      <w:r w:rsidR="006E3F1F">
        <w:rPr>
          <w:lang w:val="en-US"/>
        </w:rPr>
        <w:t xml:space="preserve"> </w:t>
      </w:r>
      <w:r>
        <w:rPr>
          <w:lang w:val="en-US"/>
        </w:rPr>
        <w:t xml:space="preserve">aims </w:t>
      </w:r>
      <w:r w:rsidR="008B2FFB">
        <w:rPr>
          <w:lang w:val="en-US"/>
        </w:rPr>
        <w:t xml:space="preserve">at </w:t>
      </w:r>
      <w:r>
        <w:rPr>
          <w:lang w:val="en-US"/>
        </w:rPr>
        <w:t>specifying and developing test methodologies for the assessment of immersive audio systems.</w:t>
      </w:r>
      <w:r w:rsidR="00630134">
        <w:rPr>
          <w:lang w:val="en-US"/>
        </w:rPr>
        <w:t xml:space="preserve"> </w:t>
      </w:r>
      <w:r w:rsidR="005A5D93">
        <w:rPr>
          <w:lang w:val="en-US"/>
        </w:rPr>
        <w:t>Proposals</w:t>
      </w:r>
      <w:r w:rsidR="00630134">
        <w:rPr>
          <w:lang w:val="en-US"/>
        </w:rPr>
        <w:t xml:space="preserve"> w</w:t>
      </w:r>
      <w:r w:rsidR="005A5D93">
        <w:rPr>
          <w:lang w:val="en-US"/>
        </w:rPr>
        <w:t>ere</w:t>
      </w:r>
      <w:r w:rsidR="00630134">
        <w:rPr>
          <w:lang w:val="en-US"/>
        </w:rPr>
        <w:t xml:space="preserve"> made i</w:t>
      </w:r>
      <w:r w:rsidR="005F3207">
        <w:rPr>
          <w:lang w:val="en-US"/>
        </w:rPr>
        <w:t xml:space="preserve">n a previous contribution </w:t>
      </w:r>
      <w:sdt>
        <w:sdtPr>
          <w:rPr>
            <w:lang w:val="en-US"/>
          </w:rPr>
          <w:id w:val="1546103000"/>
          <w:citation/>
        </w:sdtPr>
        <w:sdtEndPr/>
        <w:sdtContent>
          <w:r w:rsidR="005F3207">
            <w:rPr>
              <w:lang w:val="en-US"/>
            </w:rPr>
            <w:fldChar w:fldCharType="begin"/>
          </w:r>
          <w:r w:rsidR="005A5D93" w:rsidRPr="005A5D93">
            <w:rPr>
              <w:lang w:val="en-US"/>
            </w:rPr>
            <w:instrText xml:space="preserve">CITATION LiQuImASTestMethod \l 1031 </w:instrText>
          </w:r>
          <w:r w:rsidR="005F3207">
            <w:rPr>
              <w:lang w:val="en-US"/>
            </w:rPr>
            <w:fldChar w:fldCharType="separate"/>
          </w:r>
          <w:r w:rsidR="005A5D93" w:rsidRPr="005A5D93">
            <w:rPr>
              <w:noProof/>
              <w:lang w:val="en-US"/>
            </w:rPr>
            <w:t>[2]</w:t>
          </w:r>
          <w:r w:rsidR="005F3207">
            <w:rPr>
              <w:lang w:val="en-US"/>
            </w:rPr>
            <w:fldChar w:fldCharType="end"/>
          </w:r>
        </w:sdtContent>
      </w:sdt>
      <w:r w:rsidR="00630134">
        <w:rPr>
          <w:lang w:val="en-US"/>
        </w:rPr>
        <w:t xml:space="preserve"> regarding </w:t>
      </w:r>
      <w:r w:rsidR="005A5D93">
        <w:rPr>
          <w:lang w:val="en-US"/>
        </w:rPr>
        <w:t>the relevant perceptual attributes and the listening test methodology</w:t>
      </w:r>
      <w:r w:rsidR="003D3605">
        <w:rPr>
          <w:lang w:val="en-US"/>
        </w:rPr>
        <w:t>.</w:t>
      </w:r>
    </w:p>
    <w:p w:rsidR="00C7092D" w:rsidRDefault="00C7092D">
      <w:pPr>
        <w:rPr>
          <w:lang w:val="en-US"/>
        </w:rPr>
      </w:pPr>
      <w:r>
        <w:rPr>
          <w:lang w:val="en-US"/>
        </w:rPr>
        <w:t xml:space="preserve">This contribution describes a </w:t>
      </w:r>
      <w:r w:rsidR="00546549">
        <w:rPr>
          <w:lang w:val="en-US"/>
        </w:rPr>
        <w:t>recently conducted comparison category rating (CCR) listening test which uses four rating scales (timbre, distortion, immersion and overall quality).</w:t>
      </w:r>
    </w:p>
    <w:p w:rsidR="00434E0B" w:rsidRDefault="00546549" w:rsidP="00434E0B">
      <w:pPr>
        <w:pStyle w:val="berschrift1"/>
        <w:numPr>
          <w:ilvl w:val="0"/>
          <w:numId w:val="7"/>
        </w:numPr>
        <w:jc w:val="both"/>
        <w:rPr>
          <w:rFonts w:eastAsia="Times New Roman"/>
          <w:b/>
        </w:rPr>
      </w:pPr>
      <w:r>
        <w:rPr>
          <w:rFonts w:eastAsia="Times New Roman"/>
          <w:b/>
        </w:rPr>
        <w:t>Listening Test Material</w:t>
      </w:r>
    </w:p>
    <w:p w:rsidR="00DF622D" w:rsidRDefault="00DF622D">
      <w:pPr>
        <w:rPr>
          <w:lang w:val="en-US"/>
        </w:rPr>
      </w:pPr>
      <w:r>
        <w:rPr>
          <w:lang w:val="en-US"/>
        </w:rPr>
        <w:t xml:space="preserve">The audio material for the listening test consists of binaural recordings of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sig</m:t>
            </m:r>
          </m:sub>
        </m:sSub>
        <m:r>
          <w:rPr>
            <w:rFonts w:ascii="Cambria Math" w:hAnsi="Cambria Math"/>
            <w:lang w:val="en-US"/>
          </w:rPr>
          <m:t>=6</m:t>
        </m:r>
      </m:oMath>
      <w:r w:rsidR="00E76859">
        <w:rPr>
          <w:lang w:val="en-US"/>
        </w:rPr>
        <w:t xml:space="preserve"> </w:t>
      </w:r>
      <w:r>
        <w:rPr>
          <w:lang w:val="en-US"/>
        </w:rPr>
        <w:t xml:space="preserve">different songs </w:t>
      </w:r>
      <w:r w:rsidR="00E76859">
        <w:rPr>
          <w:lang w:val="en-US"/>
        </w:rPr>
        <w:t xml:space="preserve">played over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sys</m:t>
            </m:r>
          </m:sub>
        </m:sSub>
        <m:r>
          <w:rPr>
            <w:rFonts w:ascii="Cambria Math" w:hAnsi="Cambria Math"/>
            <w:lang w:val="en-US"/>
          </w:rPr>
          <m:t>=6</m:t>
        </m:r>
      </m:oMath>
      <w:r w:rsidR="00E76859">
        <w:rPr>
          <w:lang w:val="en-US"/>
        </w:rPr>
        <w:t xml:space="preserve"> </w:t>
      </w:r>
      <w:r w:rsidR="00241EC8">
        <w:rPr>
          <w:lang w:val="en-US"/>
        </w:rPr>
        <w:t xml:space="preserve">different audio systems ranging from </w:t>
      </w:r>
      <w:r w:rsidR="00DA3A8C">
        <w:rPr>
          <w:lang w:val="en-US"/>
        </w:rPr>
        <w:t xml:space="preserve">cheap, </w:t>
      </w:r>
      <w:r w:rsidR="00241EC8">
        <w:rPr>
          <w:lang w:val="en-US"/>
        </w:rPr>
        <w:t xml:space="preserve">small </w:t>
      </w:r>
      <w:r w:rsidR="00DA3A8C">
        <w:rPr>
          <w:lang w:val="en-US"/>
        </w:rPr>
        <w:t xml:space="preserve">and </w:t>
      </w:r>
      <w:r w:rsidR="00241EC8">
        <w:rPr>
          <w:lang w:val="en-US"/>
        </w:rPr>
        <w:t xml:space="preserve">portable active speakers to </w:t>
      </w:r>
      <w:r w:rsidR="00DA3A8C">
        <w:rPr>
          <w:lang w:val="en-US"/>
        </w:rPr>
        <w:t xml:space="preserve">expensive and </w:t>
      </w:r>
      <w:r w:rsidR="00241EC8">
        <w:rPr>
          <w:lang w:val="en-US"/>
        </w:rPr>
        <w:t>large high-end loudspeaker pairs.</w:t>
      </w:r>
      <w:r w:rsidR="003D235F">
        <w:rPr>
          <w:lang w:val="en-US"/>
        </w:rPr>
        <w:t xml:space="preserve"> Each signal had a </w:t>
      </w:r>
      <w:r w:rsidR="003714EF">
        <w:rPr>
          <w:lang w:val="en-US"/>
        </w:rPr>
        <w:t xml:space="preserve">fairly short </w:t>
      </w:r>
      <w:r w:rsidR="003D235F">
        <w:rPr>
          <w:lang w:val="en-US"/>
        </w:rPr>
        <w:t>length of approx. four seconds. There are good arguments for long and short signal lengths: A long signal would offer a more thorough evalu</w:t>
      </w:r>
      <w:r w:rsidR="003714EF">
        <w:rPr>
          <w:lang w:val="en-US"/>
        </w:rPr>
        <w:t>ation of the system performance while a short signal simplifies the comparison between the test items. Thus, a small preliminary listening test was carried out to determine the appropriate signal length. Experienced and naïve listeners alike preferred shorter signals.</w:t>
      </w:r>
    </w:p>
    <w:p w:rsidR="002A114D" w:rsidRPr="002A114D" w:rsidRDefault="002A114D">
      <w:r>
        <w:t xml:space="preserve">An additional aspect that was covered by the preliminary test was the choice of signals. It is desirable to have realistic, critical signals for conducting any listening test. </w:t>
      </w:r>
      <w:r w:rsidR="00356785">
        <w:t>A</w:t>
      </w:r>
      <w:r>
        <w:t xml:space="preserve"> CCR test</w:t>
      </w:r>
      <w:r w:rsidR="00250130">
        <w:t xml:space="preserve"> allows to quantify the</w:t>
      </w:r>
      <w:r>
        <w:t xml:space="preserve"> usefulness of each signal based on two goals: The signal should elicit clear judgements and these judgements should be consistent across the test subjects. These goals can be expressed by the mean absolute value and the standard deviation of all votes when using a certain signal.</w:t>
      </w:r>
      <w:r w:rsidR="00AE3E51">
        <w:t xml:space="preserve"> </w:t>
      </w:r>
      <w:r w:rsidR="00250130">
        <w:t>The aforementioned preliminary listening test was conducted with a larger number of signals, six of which were then used for the complete test.</w:t>
      </w:r>
    </w:p>
    <w:p w:rsidR="00241EC8" w:rsidRDefault="00241EC8">
      <w:pPr>
        <w:rPr>
          <w:lang w:val="en-US"/>
        </w:rPr>
      </w:pPr>
      <w:r>
        <w:rPr>
          <w:lang w:val="en-US"/>
        </w:rPr>
        <w:t>In a CCR test</w:t>
      </w:r>
      <w:r w:rsidR="003714EF">
        <w:rPr>
          <w:lang w:val="en-US"/>
        </w:rPr>
        <w:t xml:space="preserve"> where each comparison is only assessed once (i.e. not in both possible orderings)</w:t>
      </w:r>
      <w:r>
        <w:rPr>
          <w:lang w:val="en-US"/>
        </w:rPr>
        <w:t xml:space="preserve">, the number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m:t>
            </m:r>
          </m:sub>
        </m:sSub>
      </m:oMath>
      <w:r>
        <w:rPr>
          <w:lang w:val="en-US"/>
        </w:rPr>
        <w:t xml:space="preserve"> of necessary comparisons can be calculated according to </w:t>
      </w:r>
    </w:p>
    <w:p w:rsidR="00241EC8" w:rsidRDefault="00B561C5">
      <w:pPr>
        <w:rPr>
          <w:lang w:val="en-US"/>
        </w:rPr>
      </w:pPr>
      <m:oMathPara>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sys</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sig</m:t>
                  </m:r>
                </m:sub>
              </m:sSub>
              <m:r>
                <w:rPr>
                  <w:rFonts w:ascii="Cambria Math" w:hAnsi="Cambria Math"/>
                  <w:lang w:val="en-US"/>
                </w:rPr>
                <m:t>⋅</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sig</m:t>
                      </m:r>
                    </m:sub>
                  </m:sSub>
                  <m:r>
                    <w:rPr>
                      <w:rFonts w:ascii="Cambria Math" w:hAnsi="Cambria Math"/>
                      <w:lang w:val="en-US"/>
                    </w:rPr>
                    <m:t>-1</m:t>
                  </m:r>
                </m:e>
              </m:d>
            </m:num>
            <m:den>
              <m:r>
                <w:rPr>
                  <w:rFonts w:ascii="Cambria Math" w:hAnsi="Cambria Math"/>
                  <w:lang w:val="en-US"/>
                </w:rPr>
                <m:t>2</m:t>
              </m:r>
            </m:den>
          </m:f>
          <m:r>
            <w:rPr>
              <w:rFonts w:ascii="Cambria Math" w:hAnsi="Cambria Math"/>
              <w:lang w:val="en-US"/>
            </w:rPr>
            <m:t>.</m:t>
          </m:r>
        </m:oMath>
      </m:oMathPara>
    </w:p>
    <w:p w:rsidR="002B555C" w:rsidRPr="008B2FFB" w:rsidRDefault="003D235F">
      <w:pPr>
        <w:rPr>
          <w:lang w:val="en-US"/>
        </w:rPr>
      </w:pPr>
      <w:r>
        <w:rPr>
          <w:lang w:val="en-US"/>
        </w:rPr>
        <w:t>For the numbe</w:t>
      </w:r>
      <w:r w:rsidR="00E61139">
        <w:rPr>
          <w:lang w:val="en-US"/>
        </w:rPr>
        <w:t>rs in this test, this leads to</w:t>
      </w:r>
      <w:r>
        <w:rPr>
          <w:lang w:val="en-US"/>
        </w:rPr>
        <w:t xml:space="preserve"> 90 comparisons.</w:t>
      </w:r>
    </w:p>
    <w:p w:rsidR="00434E0B" w:rsidRDefault="00337BF8" w:rsidP="00434E0B">
      <w:pPr>
        <w:pStyle w:val="berschrift1"/>
        <w:numPr>
          <w:ilvl w:val="0"/>
          <w:numId w:val="7"/>
        </w:numPr>
        <w:jc w:val="both"/>
        <w:rPr>
          <w:rFonts w:eastAsia="Times New Roman"/>
          <w:b/>
        </w:rPr>
      </w:pPr>
      <w:r>
        <w:rPr>
          <w:rFonts w:eastAsia="Times New Roman"/>
          <w:b/>
        </w:rPr>
        <w:t>Listening Test Methodology</w:t>
      </w:r>
      <w:r w:rsidR="0038759D">
        <w:rPr>
          <w:rFonts w:eastAsia="Times New Roman"/>
          <w:b/>
        </w:rPr>
        <w:t xml:space="preserve"> and Environment</w:t>
      </w:r>
    </w:p>
    <w:p w:rsidR="00801F6B" w:rsidRPr="008B2FFB" w:rsidRDefault="00ED047A" w:rsidP="008B2FFB">
      <w:pPr>
        <w:rPr>
          <w:lang w:val="en-US"/>
        </w:rPr>
      </w:pPr>
      <w:r>
        <w:rPr>
          <w:lang w:val="en-US"/>
        </w:rPr>
        <w:t xml:space="preserve">Altogether, 38 normal-hearing naïve test subjects participated in the auditory test. </w:t>
      </w:r>
      <w:r w:rsidR="00250130">
        <w:rPr>
          <w:lang w:val="en-US"/>
        </w:rPr>
        <w:t>After a short introduction with six comparisons to familiarize the test subjects with the task, e</w:t>
      </w:r>
      <w:r>
        <w:rPr>
          <w:lang w:val="en-US"/>
        </w:rPr>
        <w:t xml:space="preserve">ach subject listened to all 90 comparisons. Both the order of the comparisons as well as the order of the signals in the individual comparison were individually randomized. The subjects were allowed to listen to the signals as many times as they wanted </w:t>
      </w:r>
      <w:r w:rsidR="00E61139">
        <w:rPr>
          <w:lang w:val="en-US"/>
        </w:rPr>
        <w:t xml:space="preserve">(but had to listen to each signal at least once) </w:t>
      </w:r>
      <w:r>
        <w:rPr>
          <w:lang w:val="en-US"/>
        </w:rPr>
        <w:t xml:space="preserve">and had to give their votes on the four rating scales from Figure 2 in </w:t>
      </w:r>
      <w:sdt>
        <w:sdtPr>
          <w:rPr>
            <w:lang w:val="en-US"/>
          </w:rPr>
          <w:id w:val="1068308122"/>
          <w:citation/>
        </w:sdtPr>
        <w:sdtEndPr/>
        <w:sdtContent>
          <w:r>
            <w:rPr>
              <w:lang w:val="en-US"/>
            </w:rPr>
            <w:fldChar w:fldCharType="begin"/>
          </w:r>
          <w:r w:rsidRPr="00ED047A">
            <w:rPr>
              <w:lang w:val="en-US"/>
            </w:rPr>
            <w:instrText xml:space="preserve"> CITATION LiQuImASTestMethod \l 1031 </w:instrText>
          </w:r>
          <w:r>
            <w:rPr>
              <w:lang w:val="en-US"/>
            </w:rPr>
            <w:fldChar w:fldCharType="separate"/>
          </w:r>
          <w:r w:rsidRPr="00ED047A">
            <w:rPr>
              <w:noProof/>
              <w:lang w:val="en-US"/>
            </w:rPr>
            <w:t>[2]</w:t>
          </w:r>
          <w:r>
            <w:rPr>
              <w:lang w:val="en-US"/>
            </w:rPr>
            <w:fldChar w:fldCharType="end"/>
          </w:r>
        </w:sdtContent>
      </w:sdt>
      <w:r w:rsidR="00250130">
        <w:rPr>
          <w:lang w:val="en-US"/>
        </w:rPr>
        <w:t xml:space="preserve"> (-3 to +3 on the scales timbre, distortion, immersion and overall quality)</w:t>
      </w:r>
      <w:r>
        <w:rPr>
          <w:lang w:val="en-US"/>
        </w:rPr>
        <w:t xml:space="preserve">. </w:t>
      </w:r>
      <w:r w:rsidR="00E61139">
        <w:rPr>
          <w:lang w:val="en-US"/>
        </w:rPr>
        <w:t xml:space="preserve">The overall test duration varied </w:t>
      </w:r>
      <w:r w:rsidR="00250130">
        <w:rPr>
          <w:lang w:val="en-US"/>
        </w:rPr>
        <w:t xml:space="preserve">strongly </w:t>
      </w:r>
      <w:r w:rsidR="00E61139">
        <w:rPr>
          <w:lang w:val="en-US"/>
        </w:rPr>
        <w:t>between 45 and 90 minutes as some subjects used the possibility for signal repetition only sparingly while others repeated most of the signals multiple times.</w:t>
      </w:r>
    </w:p>
    <w:p w:rsidR="007E522B" w:rsidRDefault="007E522B" w:rsidP="007E522B">
      <w:pPr>
        <w:pStyle w:val="berschrift1"/>
        <w:numPr>
          <w:ilvl w:val="0"/>
          <w:numId w:val="7"/>
        </w:numPr>
        <w:jc w:val="both"/>
        <w:rPr>
          <w:rFonts w:eastAsia="Times New Roman"/>
          <w:b/>
        </w:rPr>
      </w:pPr>
      <w:r>
        <w:rPr>
          <w:rFonts w:eastAsia="Times New Roman"/>
          <w:b/>
        </w:rPr>
        <w:t>Results</w:t>
      </w:r>
    </w:p>
    <w:p w:rsidR="007E522B" w:rsidRPr="007E522B" w:rsidRDefault="00E61139" w:rsidP="007E522B">
      <w:r>
        <w:t xml:space="preserve">In the context of LiQuImAS, the applicability of the test design is the main question. Hence, the analysis of the results </w:t>
      </w:r>
      <w:r w:rsidR="001D513F">
        <w:t xml:space="preserve">mostly </w:t>
      </w:r>
      <w:r>
        <w:t>focuses on the reliabilit</w:t>
      </w:r>
      <w:r w:rsidR="00250130">
        <w:t xml:space="preserve">y of the votes of the subjects and </w:t>
      </w:r>
      <w:r w:rsidR="001D513F">
        <w:t>on techniques for mapping from a comparative scale to an absolute scale. Additionally, a minor investigation on the chosen rating scales is carried out.</w:t>
      </w:r>
    </w:p>
    <w:p w:rsidR="004A6D22" w:rsidRDefault="004A6D22" w:rsidP="004A6D22">
      <w:pPr>
        <w:pStyle w:val="berschrift1"/>
        <w:numPr>
          <w:ilvl w:val="1"/>
          <w:numId w:val="7"/>
        </w:numPr>
        <w:jc w:val="both"/>
        <w:rPr>
          <w:rFonts w:eastAsia="Times New Roman"/>
          <w:b/>
        </w:rPr>
      </w:pPr>
      <w:proofErr w:type="spellStart"/>
      <w:r>
        <w:rPr>
          <w:rFonts w:eastAsia="Times New Roman"/>
          <w:b/>
        </w:rPr>
        <w:lastRenderedPageBreak/>
        <w:t>Postprocessing</w:t>
      </w:r>
      <w:proofErr w:type="spellEnd"/>
      <w:r>
        <w:rPr>
          <w:rFonts w:eastAsia="Times New Roman"/>
          <w:b/>
        </w:rPr>
        <w:t xml:space="preserve"> of Votes</w:t>
      </w:r>
    </w:p>
    <w:p w:rsidR="0023722E" w:rsidRDefault="001D513F" w:rsidP="0023722E">
      <w:r>
        <w:t xml:space="preserve">Comparative listening tests have the advantageous property that they inherently provide reliability information on the votes. </w:t>
      </w:r>
      <w:r w:rsidR="005636B8">
        <w:t xml:space="preserve">A test subject that is giving inconsistent votes produces a large ratio of circular triads. Circular triads </w:t>
      </w:r>
      <w:r w:rsidR="000B46C7">
        <w:t xml:space="preserve">occur when three test </w:t>
      </w:r>
      <w:proofErr w:type="gramStart"/>
      <w:r w:rsidR="000B46C7">
        <w:t xml:space="preserve">items </w:t>
      </w:r>
      <w:proofErr w:type="gramEnd"/>
      <m:oMath>
        <m:r>
          <w:rPr>
            <w:rFonts w:ascii="Cambria Math" w:hAnsi="Cambria Math"/>
          </w:rPr>
          <m:t>A</m:t>
        </m:r>
      </m:oMath>
      <w:r w:rsidR="000B46C7">
        <w:t xml:space="preserve">, </w:t>
      </w:r>
      <m:oMath>
        <m:r>
          <w:rPr>
            <w:rFonts w:ascii="Cambria Math" w:hAnsi="Cambria Math"/>
          </w:rPr>
          <m:t>B</m:t>
        </m:r>
      </m:oMath>
      <w:r w:rsidR="000B46C7">
        <w:t xml:space="preserve"> and </w:t>
      </w:r>
      <m:oMath>
        <m:r>
          <w:rPr>
            <w:rFonts w:ascii="Cambria Math" w:hAnsi="Cambria Math"/>
          </w:rPr>
          <m:t>C</m:t>
        </m:r>
      </m:oMath>
      <w:r w:rsidR="000B46C7">
        <w:t xml:space="preserve"> are compared to each other and the results are that </w:t>
      </w:r>
      <m:oMath>
        <m:r>
          <w:rPr>
            <w:rFonts w:ascii="Cambria Math" w:hAnsi="Cambria Math"/>
          </w:rPr>
          <m:t>A&gt;B</m:t>
        </m:r>
      </m:oMath>
      <w:r w:rsidR="000B46C7">
        <w:t xml:space="preserve">, </w:t>
      </w:r>
      <m:oMath>
        <m:r>
          <w:rPr>
            <w:rFonts w:ascii="Cambria Math" w:hAnsi="Cambria Math"/>
          </w:rPr>
          <m:t>B&gt;C</m:t>
        </m:r>
      </m:oMath>
      <w:r w:rsidR="000B46C7">
        <w:t xml:space="preserve"> and </w:t>
      </w:r>
      <m:oMath>
        <m:r>
          <w:rPr>
            <w:rFonts w:ascii="Cambria Math" w:hAnsi="Cambria Math"/>
          </w:rPr>
          <m:t>C&gt;A</m:t>
        </m:r>
      </m:oMath>
      <w:r w:rsidR="00077A25">
        <w:t xml:space="preserve">. Accordingly, a reliable test subject would vote </w:t>
      </w:r>
      <m:oMath>
        <m:r>
          <w:rPr>
            <w:rFonts w:ascii="Cambria Math" w:hAnsi="Cambria Math"/>
          </w:rPr>
          <m:t>C&lt;A</m:t>
        </m:r>
      </m:oMath>
      <w:r w:rsidR="00077A25">
        <w:t xml:space="preserve"> in the last comparison. </w:t>
      </w:r>
      <w:r w:rsidR="000B46C7">
        <w:t>This is readily defined for paired comparison tests where no intermediate steps (e.g., “</w:t>
      </w:r>
      <m:oMath>
        <m:r>
          <w:rPr>
            <w:rFonts w:ascii="Cambria Math" w:hAnsi="Cambria Math"/>
          </w:rPr>
          <m:t>A</m:t>
        </m:r>
      </m:oMath>
      <w:r w:rsidR="000B46C7">
        <w:t xml:space="preserve"> is slightly better </w:t>
      </w:r>
      <w:proofErr w:type="gramStart"/>
      <w:r w:rsidR="000B46C7">
        <w:t xml:space="preserve">than </w:t>
      </w:r>
      <w:proofErr w:type="gramEnd"/>
      <m:oMath>
        <m:r>
          <w:rPr>
            <w:rFonts w:ascii="Cambria Math" w:hAnsi="Cambria Math"/>
          </w:rPr>
          <m:t>B</m:t>
        </m:r>
      </m:oMath>
      <w:r w:rsidR="000B46C7">
        <w:t xml:space="preserve">”) are available. For the CCR test, </w:t>
      </w:r>
      <w:r w:rsidR="00077A25">
        <w:t xml:space="preserve">the definition is not as straightforward as each comparison essentially results in a </w:t>
      </w:r>
      <w:r w:rsidR="0023722E">
        <w:t>comparison result</w:t>
      </w:r>
      <w:r w:rsidR="00077A25">
        <w:t xml:space="preserve"> </w:t>
      </w:r>
      <m:oMath>
        <m:r>
          <w:rPr>
            <w:rFonts w:ascii="Cambria Math" w:hAnsi="Cambria Math"/>
          </w:rPr>
          <m:t>CR(A,B)</m:t>
        </m:r>
      </m:oMath>
      <w:r w:rsidR="0023722E">
        <w:t xml:space="preserve"> </w:t>
      </w:r>
      <w:r w:rsidR="00077A25">
        <w:t xml:space="preserve">on a scale from </w:t>
      </w:r>
      <m:oMath>
        <m:r>
          <w:rPr>
            <w:rFonts w:ascii="Cambria Math" w:hAnsi="Cambria Math"/>
          </w:rPr>
          <m:t>-3</m:t>
        </m:r>
      </m:oMath>
      <w:r w:rsidR="00077A25">
        <w:t xml:space="preserve"> to </w:t>
      </w:r>
      <m:oMath>
        <m:r>
          <w:rPr>
            <w:rFonts w:ascii="Cambria Math" w:hAnsi="Cambria Math"/>
          </w:rPr>
          <m:t>3</m:t>
        </m:r>
      </m:oMath>
      <w:r w:rsidR="00077A25">
        <w:t xml:space="preserve"> and </w:t>
      </w:r>
      <w:r w:rsidR="0023722E">
        <w:t>different possibilities for treating the results are possible:</w:t>
      </w:r>
    </w:p>
    <w:p w:rsidR="0023722E" w:rsidRDefault="0023722E" w:rsidP="0023722E">
      <w:r>
        <w:t xml:space="preserve">The straightforward relation to the definition from the paired comparison test would be to only look at the signs of the comparison results. A circular triad with this definition occurs when </w:t>
      </w:r>
    </w:p>
    <w:p w:rsidR="0023722E" w:rsidRDefault="0023722E" w:rsidP="0023722E">
      <m:oMathPara>
        <m:oMath>
          <m:r>
            <m:rPr>
              <m:sty m:val="p"/>
            </m:rPr>
            <w:rPr>
              <w:rFonts w:ascii="Cambria Math" w:hAnsi="Cambria Math"/>
            </w:rPr>
            <m:t>sign</m:t>
          </m:r>
          <m:d>
            <m:dPr>
              <m:ctrlPr>
                <w:rPr>
                  <w:rFonts w:ascii="Cambria Math" w:hAnsi="Cambria Math"/>
                  <w:i/>
                </w:rPr>
              </m:ctrlPr>
            </m:dPr>
            <m:e>
              <m:r>
                <w:rPr>
                  <w:rFonts w:ascii="Cambria Math" w:hAnsi="Cambria Math"/>
                </w:rPr>
                <m:t>CR</m:t>
              </m:r>
              <m:d>
                <m:dPr>
                  <m:ctrlPr>
                    <w:rPr>
                      <w:rFonts w:ascii="Cambria Math" w:hAnsi="Cambria Math"/>
                      <w:i/>
                    </w:rPr>
                  </m:ctrlPr>
                </m:dPr>
                <m:e>
                  <m:r>
                    <w:rPr>
                      <w:rFonts w:ascii="Cambria Math" w:hAnsi="Cambria Math"/>
                    </w:rPr>
                    <m:t>A,B</m:t>
                  </m:r>
                </m:e>
              </m:d>
              <m:r>
                <w:rPr>
                  <w:rFonts w:ascii="Cambria Math" w:hAnsi="Cambria Math"/>
                </w:rPr>
                <m:t>+CR</m:t>
              </m:r>
              <m:d>
                <m:dPr>
                  <m:ctrlPr>
                    <w:rPr>
                      <w:rFonts w:ascii="Cambria Math" w:hAnsi="Cambria Math"/>
                      <w:i/>
                    </w:rPr>
                  </m:ctrlPr>
                </m:dPr>
                <m:e>
                  <m:r>
                    <w:rPr>
                      <w:rFonts w:ascii="Cambria Math" w:hAnsi="Cambria Math"/>
                    </w:rPr>
                    <m:t>B,C</m:t>
                  </m:r>
                </m:e>
              </m:d>
            </m:e>
          </m:d>
          <m:r>
            <w:rPr>
              <w:rFonts w:ascii="Cambria Math" w:hAnsi="Cambria Math"/>
            </w:rPr>
            <m:t>≠</m:t>
          </m:r>
          <m:r>
            <m:rPr>
              <m:sty m:val="p"/>
            </m:rPr>
            <w:rPr>
              <w:rFonts w:ascii="Cambria Math" w:hAnsi="Cambria Math"/>
            </w:rPr>
            <m:t>sign</m:t>
          </m:r>
          <m:d>
            <m:dPr>
              <m:ctrlPr>
                <w:rPr>
                  <w:rFonts w:ascii="Cambria Math" w:hAnsi="Cambria Math"/>
                  <w:i/>
                </w:rPr>
              </m:ctrlPr>
            </m:dPr>
            <m:e>
              <m:r>
                <w:rPr>
                  <w:rFonts w:ascii="Cambria Math" w:hAnsi="Cambria Math"/>
                </w:rPr>
                <m:t>CR</m:t>
              </m:r>
              <m:d>
                <m:dPr>
                  <m:ctrlPr>
                    <w:rPr>
                      <w:rFonts w:ascii="Cambria Math" w:hAnsi="Cambria Math"/>
                      <w:i/>
                    </w:rPr>
                  </m:ctrlPr>
                </m:dPr>
                <m:e>
                  <m:r>
                    <w:rPr>
                      <w:rFonts w:ascii="Cambria Math" w:hAnsi="Cambria Math"/>
                    </w:rPr>
                    <m:t>A,C</m:t>
                  </m:r>
                </m:e>
              </m:d>
            </m:e>
          </m:d>
          <m:r>
            <w:rPr>
              <w:rFonts w:ascii="Cambria Math" w:hAnsi="Cambria Math"/>
            </w:rPr>
            <m:t>.</m:t>
          </m:r>
        </m:oMath>
      </m:oMathPara>
    </w:p>
    <w:p w:rsidR="0023722E" w:rsidRDefault="0023722E" w:rsidP="004A6D22">
      <w:r>
        <w:t xml:space="preserve">This would be very strict regarding small </w:t>
      </w:r>
      <w:r w:rsidR="00CC556C">
        <w:t>differences (e.g., this set of votes would be a circular triad with this definition: “</w:t>
      </w:r>
      <m:oMath>
        <m:r>
          <w:rPr>
            <w:rFonts w:ascii="Cambria Math" w:hAnsi="Cambria Math"/>
          </w:rPr>
          <m:t>A</m:t>
        </m:r>
      </m:oMath>
      <w:r w:rsidR="00CC556C">
        <w:t xml:space="preserve"> is slightly better than </w:t>
      </w:r>
      <m:oMath>
        <m:r>
          <w:rPr>
            <w:rFonts w:ascii="Cambria Math" w:hAnsi="Cambria Math"/>
          </w:rPr>
          <m:t>B</m:t>
        </m:r>
      </m:oMath>
      <w:r w:rsidR="00CC556C">
        <w:t>”, “</w:t>
      </w:r>
      <m:oMath>
        <m:r>
          <w:rPr>
            <w:rFonts w:ascii="Cambria Math" w:hAnsi="Cambria Math"/>
          </w:rPr>
          <m:t>B</m:t>
        </m:r>
      </m:oMath>
      <w:r w:rsidR="00CC556C">
        <w:t xml:space="preserve"> and </w:t>
      </w:r>
      <m:oMath>
        <m:r>
          <w:rPr>
            <w:rFonts w:ascii="Cambria Math" w:hAnsi="Cambria Math"/>
          </w:rPr>
          <m:t>C</m:t>
        </m:r>
      </m:oMath>
      <w:r w:rsidR="00CC556C">
        <w:t xml:space="preserve"> are about the same” and “</w:t>
      </w:r>
      <m:oMath>
        <m:r>
          <w:rPr>
            <w:rFonts w:ascii="Cambria Math" w:hAnsi="Cambria Math"/>
          </w:rPr>
          <m:t>A</m:t>
        </m:r>
      </m:oMath>
      <w:r w:rsidR="00CC556C">
        <w:t xml:space="preserve"> and </w:t>
      </w:r>
      <m:oMath>
        <m:r>
          <w:rPr>
            <w:rFonts w:ascii="Cambria Math" w:hAnsi="Cambria Math"/>
          </w:rPr>
          <m:t>C</m:t>
        </m:r>
      </m:oMath>
      <w:r w:rsidR="00CC556C">
        <w:t xml:space="preserve"> are about the same”) but might miss other critical cases (e.g., this set of votes would not be a circular triad with this definition: “</w:t>
      </w:r>
      <m:oMath>
        <m:r>
          <w:rPr>
            <w:rFonts w:ascii="Cambria Math" w:hAnsi="Cambria Math"/>
          </w:rPr>
          <m:t>A</m:t>
        </m:r>
      </m:oMath>
      <w:r w:rsidR="00CC556C">
        <w:t xml:space="preserve"> is much better than </w:t>
      </w:r>
      <m:oMath>
        <m:r>
          <w:rPr>
            <w:rFonts w:ascii="Cambria Math" w:hAnsi="Cambria Math"/>
          </w:rPr>
          <m:t>B</m:t>
        </m:r>
      </m:oMath>
      <w:r w:rsidR="00CC556C">
        <w:t>”, “</w:t>
      </w:r>
      <m:oMath>
        <m:r>
          <w:rPr>
            <w:rFonts w:ascii="Cambria Math" w:hAnsi="Cambria Math"/>
          </w:rPr>
          <m:t>B</m:t>
        </m:r>
      </m:oMath>
      <w:r w:rsidR="00CC556C">
        <w:t xml:space="preserve"> is much better than </w:t>
      </w:r>
      <m:oMath>
        <m:r>
          <w:rPr>
            <w:rFonts w:ascii="Cambria Math" w:hAnsi="Cambria Math"/>
          </w:rPr>
          <m:t>C</m:t>
        </m:r>
      </m:oMath>
      <w:r w:rsidR="00CC556C">
        <w:t>” and “</w:t>
      </w:r>
      <m:oMath>
        <m:r>
          <w:rPr>
            <w:rFonts w:ascii="Cambria Math" w:hAnsi="Cambria Math"/>
          </w:rPr>
          <m:t>A</m:t>
        </m:r>
      </m:oMath>
      <w:r w:rsidR="00CC556C">
        <w:t xml:space="preserve"> is slightly better than </w:t>
      </w:r>
      <m:oMath>
        <m:r>
          <w:rPr>
            <w:rFonts w:ascii="Cambria Math" w:hAnsi="Cambria Math"/>
          </w:rPr>
          <m:t>C</m:t>
        </m:r>
      </m:oMath>
      <w:r w:rsidR="00CC556C">
        <w:t>”).</w:t>
      </w:r>
    </w:p>
    <w:p w:rsidR="00CC556C" w:rsidRDefault="00CC556C" w:rsidP="004A6D22">
      <w:r>
        <w:t xml:space="preserve">Thus, the magnitudes of the votes has to be taken into account. The source proposes to calculate the </w:t>
      </w:r>
      <w:r w:rsidR="00E42075">
        <w:t xml:space="preserve">absolute value </w:t>
      </w:r>
      <m:oMath>
        <m:r>
          <w:rPr>
            <w:rFonts w:ascii="Cambria Math" w:hAnsi="Cambria Math"/>
          </w:rPr>
          <m:t>σ</m:t>
        </m:r>
      </m:oMath>
      <w:r>
        <w:t xml:space="preserve"> </w:t>
      </w:r>
      <w:r w:rsidR="00E42075">
        <w:t xml:space="preserve">of the sum </w:t>
      </w:r>
      <w:r>
        <w:t xml:space="preserve">over a closed loop of comparisons according to </w:t>
      </w:r>
    </w:p>
    <w:p w:rsidR="00CC556C" w:rsidRDefault="00831C85" w:rsidP="004A6D22">
      <m:oMathPara>
        <m:oMath>
          <m:r>
            <w:rPr>
              <w:rFonts w:ascii="Cambria Math" w:hAnsi="Cambria Math"/>
            </w:rPr>
            <m:t>σ=</m:t>
          </m:r>
          <m:d>
            <m:dPr>
              <m:begChr m:val="|"/>
              <m:endChr m:val="|"/>
              <m:ctrlPr>
                <w:rPr>
                  <w:rFonts w:ascii="Cambria Math" w:hAnsi="Cambria Math"/>
                  <w:i/>
                </w:rPr>
              </m:ctrlPr>
            </m:dPr>
            <m:e>
              <m:r>
                <w:rPr>
                  <w:rFonts w:ascii="Cambria Math" w:hAnsi="Cambria Math"/>
                </w:rPr>
                <m:t>CR</m:t>
              </m:r>
              <m:d>
                <m:dPr>
                  <m:ctrlPr>
                    <w:rPr>
                      <w:rFonts w:ascii="Cambria Math" w:hAnsi="Cambria Math"/>
                      <w:i/>
                    </w:rPr>
                  </m:ctrlPr>
                </m:dPr>
                <m:e>
                  <m:r>
                    <w:rPr>
                      <w:rFonts w:ascii="Cambria Math" w:hAnsi="Cambria Math"/>
                    </w:rPr>
                    <m:t>A,B</m:t>
                  </m:r>
                </m:e>
              </m:d>
              <m:r>
                <w:rPr>
                  <w:rFonts w:ascii="Cambria Math" w:hAnsi="Cambria Math"/>
                </w:rPr>
                <m:t>+CR</m:t>
              </m:r>
              <m:d>
                <m:dPr>
                  <m:ctrlPr>
                    <w:rPr>
                      <w:rFonts w:ascii="Cambria Math" w:hAnsi="Cambria Math"/>
                      <w:i/>
                    </w:rPr>
                  </m:ctrlPr>
                </m:dPr>
                <m:e>
                  <m:r>
                    <w:rPr>
                      <w:rFonts w:ascii="Cambria Math" w:hAnsi="Cambria Math"/>
                    </w:rPr>
                    <m:t>B,C</m:t>
                  </m:r>
                </m:e>
              </m:d>
              <m:r>
                <w:rPr>
                  <w:rFonts w:ascii="Cambria Math" w:hAnsi="Cambria Math"/>
                </w:rPr>
                <m:t>+CR</m:t>
              </m:r>
              <m:d>
                <m:dPr>
                  <m:ctrlPr>
                    <w:rPr>
                      <w:rFonts w:ascii="Cambria Math" w:hAnsi="Cambria Math"/>
                      <w:i/>
                    </w:rPr>
                  </m:ctrlPr>
                </m:dPr>
                <m:e>
                  <m:r>
                    <w:rPr>
                      <w:rFonts w:ascii="Cambria Math" w:hAnsi="Cambria Math"/>
                    </w:rPr>
                    <m:t>C,A</m:t>
                  </m:r>
                </m:e>
              </m:d>
            </m:e>
          </m:d>
          <m:r>
            <w:rPr>
              <w:rFonts w:ascii="Cambria Math" w:hAnsi="Cambria Math"/>
            </w:rPr>
            <m:t>.</m:t>
          </m:r>
        </m:oMath>
      </m:oMathPara>
    </w:p>
    <w:p w:rsidR="00831C85" w:rsidRDefault="00831C85" w:rsidP="004A6D22">
      <w:r>
        <w:t xml:space="preserve">Obviously, a perfect result would be </w:t>
      </w:r>
      <m:oMath>
        <m:r>
          <w:rPr>
            <w:rFonts w:ascii="Cambria Math" w:hAnsi="Cambria Math"/>
          </w:rPr>
          <m:t>σ=0</m:t>
        </m:r>
      </m:oMath>
      <w:r>
        <w:t xml:space="preserve"> for all possible sets of comparisons in the test. This is unrealistic as small differences will always occur with human subjects. Thus, a threshold has to be defined. The source proposes to use a threshold of </w:t>
      </w:r>
      <m:oMath>
        <m:r>
          <w:rPr>
            <w:rFonts w:ascii="Cambria Math" w:hAnsi="Cambria Math"/>
          </w:rPr>
          <m:t>σ≤3</m:t>
        </m:r>
      </m:oMath>
      <w:r>
        <w:t xml:space="preserve"> for the evaluation. This means that missing the </w:t>
      </w:r>
      <w:r w:rsidRPr="00831C85">
        <w:rPr>
          <w:i/>
        </w:rPr>
        <w:t>correct</w:t>
      </w:r>
      <w:r>
        <w:t xml:space="preserve"> value in each comparison by one step on the CCR scale is acceptable. Looking at the two aforementioned examples, the first set of votes would no longer give a circular triad while the second set would now constitute a circular triad.</w:t>
      </w:r>
    </w:p>
    <w:p w:rsidR="00415128" w:rsidRPr="00415128" w:rsidRDefault="00415128" w:rsidP="004A6D22">
      <w:pPr>
        <w:rPr>
          <w:lang w:val="en-US"/>
        </w:rPr>
      </w:pPr>
      <w:r>
        <w:t xml:space="preserve">Two example histograms illustrating the value distribution of </w:t>
      </w:r>
      <m:oMath>
        <m:r>
          <w:rPr>
            <w:rFonts w:ascii="Cambria Math" w:hAnsi="Cambria Math"/>
          </w:rPr>
          <m:t>σ</m:t>
        </m:r>
      </m:oMath>
      <w:r>
        <w:t xml:space="preserve"> for different test subjects are depicted in </w:t>
      </w:r>
      <w:r>
        <w:fldChar w:fldCharType="begin"/>
      </w:r>
      <w:r>
        <w:instrText xml:space="preserve"> REF _Ref459815767 \h </w:instrText>
      </w:r>
      <w:r>
        <w:fldChar w:fldCharType="separate"/>
      </w:r>
      <w:r w:rsidRPr="00597138">
        <w:rPr>
          <w:rFonts w:eastAsia="Times New Roman"/>
          <w:bCs/>
          <w:lang w:val="en-US"/>
        </w:rPr>
        <w:t xml:space="preserve">Figure </w:t>
      </w:r>
      <w:r>
        <w:rPr>
          <w:rFonts w:eastAsia="Times New Roman"/>
          <w:bCs/>
          <w:noProof/>
          <w:lang w:val="en-US"/>
        </w:rPr>
        <w:t>1</w:t>
      </w:r>
      <w:r>
        <w:fldChar w:fldCharType="end"/>
      </w:r>
      <w:r>
        <w:t xml:space="preserve">. The left subfigure shows the results for a test subject that voted quite consistently, i.e., only small values for </w:t>
      </w:r>
      <m:oMath>
        <m:r>
          <w:rPr>
            <w:rFonts w:ascii="Cambria Math" w:hAnsi="Cambria Math"/>
          </w:rPr>
          <m:t>σ</m:t>
        </m:r>
      </m:oMath>
      <w:r>
        <w:t xml:space="preserve"> occur. The spread of values in the right subfigure is much wider and even very large values for </w:t>
      </w:r>
      <m:oMath>
        <m:r>
          <w:rPr>
            <w:rFonts w:ascii="Cambria Math" w:hAnsi="Cambria Math"/>
          </w:rPr>
          <m:t>σ</m:t>
        </m:r>
      </m:oMath>
      <w:r>
        <w:t xml:space="preserve"> can be seen.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4"/>
        <w:gridCol w:w="221"/>
        <w:gridCol w:w="4564"/>
      </w:tblGrid>
      <w:tr w:rsidR="00415128" w:rsidTr="00357C06">
        <w:tc>
          <w:tcPr>
            <w:tcW w:w="3114" w:type="dxa"/>
          </w:tcPr>
          <w:p w:rsidR="00415128" w:rsidRDefault="00415128" w:rsidP="00415128">
            <w:pPr>
              <w:keepNext/>
              <w:keepLines/>
              <w:jc w:val="both"/>
              <w:rPr>
                <w:lang w:val="en-US"/>
              </w:rPr>
            </w:pPr>
            <w:r>
              <w:rPr>
                <w:noProof/>
                <w:lang w:val="en-US"/>
              </w:rPr>
              <w:drawing>
                <wp:inline distT="0" distB="0" distL="0" distR="0" wp14:anchorId="764BCE81" wp14:editId="553E2B37">
                  <wp:extent cx="3060000" cy="2298074"/>
                  <wp:effectExtent l="0" t="0" r="7620" b="6985"/>
                  <wp:docPr id="1" name="Grafik 1" descr="C:\SVN\dokumente_telecom\Standardisierungsbeiträge\3GPP\2018\S4-18XXXX_LiQuImAS-Auditory Assessment of Audio Systems\Figures\goo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SVN\dokumente_telecom\Standardisierungsbeiträge\3GPP\2018\S4-18XXXX_LiQuImAS-Auditory Assessment of Audio Systems\Figures\good.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60000" cy="2298074"/>
                          </a:xfrm>
                          <a:prstGeom prst="rect">
                            <a:avLst/>
                          </a:prstGeom>
                          <a:noFill/>
                          <a:ln>
                            <a:noFill/>
                          </a:ln>
                        </pic:spPr>
                      </pic:pic>
                    </a:graphicData>
                  </a:graphic>
                </wp:inline>
              </w:drawing>
            </w:r>
          </w:p>
        </w:tc>
        <w:tc>
          <w:tcPr>
            <w:tcW w:w="3114" w:type="dxa"/>
          </w:tcPr>
          <w:p w:rsidR="00415128" w:rsidRDefault="00415128" w:rsidP="00357C06">
            <w:pPr>
              <w:keepNext/>
              <w:keepLines/>
              <w:jc w:val="both"/>
              <w:rPr>
                <w:lang w:val="en-US"/>
              </w:rPr>
            </w:pPr>
          </w:p>
        </w:tc>
        <w:tc>
          <w:tcPr>
            <w:tcW w:w="3114" w:type="dxa"/>
          </w:tcPr>
          <w:p w:rsidR="00415128" w:rsidRDefault="00415128" w:rsidP="00357C06">
            <w:pPr>
              <w:keepNext/>
              <w:keepLines/>
              <w:jc w:val="both"/>
              <w:rPr>
                <w:lang w:val="en-US"/>
              </w:rPr>
            </w:pPr>
            <w:r>
              <w:rPr>
                <w:noProof/>
                <w:lang w:val="en-US"/>
              </w:rPr>
              <w:drawing>
                <wp:inline distT="0" distB="0" distL="0" distR="0" wp14:anchorId="4AEC6DB8" wp14:editId="6B39F5CC">
                  <wp:extent cx="3060000" cy="2295000"/>
                  <wp:effectExtent l="0" t="0" r="7620" b="0"/>
                  <wp:docPr id="2" name="Grafik 2" descr="C:\SVN\dokumente_telecom\Standardisierungsbeiträge\3GPP\2018\S4-18XXXX_LiQuImAS-Auditory Assessment of Audio Systems\Figures\b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SVN\dokumente_telecom\Standardisierungsbeiträge\3GPP\2018\S4-18XXXX_LiQuImAS-Auditory Assessment of Audio Systems\Figures\bad.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60000" cy="2295000"/>
                          </a:xfrm>
                          <a:prstGeom prst="rect">
                            <a:avLst/>
                          </a:prstGeom>
                          <a:noFill/>
                          <a:ln>
                            <a:noFill/>
                          </a:ln>
                        </pic:spPr>
                      </pic:pic>
                    </a:graphicData>
                  </a:graphic>
                </wp:inline>
              </w:drawing>
            </w:r>
          </w:p>
        </w:tc>
      </w:tr>
      <w:tr w:rsidR="00415128" w:rsidRPr="00DF0C71" w:rsidTr="00357C06">
        <w:tc>
          <w:tcPr>
            <w:tcW w:w="9342" w:type="dxa"/>
            <w:gridSpan w:val="3"/>
          </w:tcPr>
          <w:p w:rsidR="00415128" w:rsidRPr="00DF0C71" w:rsidRDefault="00415128" w:rsidP="00415128">
            <w:pPr>
              <w:pStyle w:val="Beschriftung"/>
              <w:keepNext/>
              <w:rPr>
                <w:rFonts w:eastAsia="Times New Roman"/>
                <w:bCs/>
                <w:sz w:val="22"/>
                <w:lang w:val="en-US"/>
              </w:rPr>
            </w:pPr>
            <w:bookmarkStart w:id="1" w:name="_Ref459815767"/>
            <w:r w:rsidRPr="00597138">
              <w:rPr>
                <w:rFonts w:eastAsia="Times New Roman"/>
                <w:bCs/>
                <w:sz w:val="22"/>
                <w:lang w:val="en-US"/>
              </w:rPr>
              <w:t xml:space="preserve">Figure </w:t>
            </w:r>
            <w:r w:rsidRPr="00597138">
              <w:rPr>
                <w:bCs/>
                <w:sz w:val="22"/>
                <w:lang w:val="en-US"/>
              </w:rPr>
              <w:fldChar w:fldCharType="begin"/>
            </w:r>
            <w:r w:rsidRPr="00597138">
              <w:rPr>
                <w:rFonts w:eastAsia="Times New Roman"/>
                <w:bCs/>
                <w:sz w:val="22"/>
                <w:lang w:val="en-US"/>
              </w:rPr>
              <w:instrText xml:space="preserve"> SEQ Figure \* ARABIC </w:instrText>
            </w:r>
            <w:r w:rsidRPr="00597138">
              <w:rPr>
                <w:bCs/>
                <w:sz w:val="22"/>
                <w:lang w:val="en-US"/>
              </w:rPr>
              <w:fldChar w:fldCharType="separate"/>
            </w:r>
            <w:r>
              <w:rPr>
                <w:rFonts w:eastAsia="Times New Roman"/>
                <w:bCs/>
                <w:noProof/>
                <w:sz w:val="22"/>
                <w:lang w:val="en-US"/>
              </w:rPr>
              <w:t>1</w:t>
            </w:r>
            <w:r w:rsidRPr="00597138">
              <w:rPr>
                <w:bCs/>
                <w:sz w:val="22"/>
                <w:lang w:val="en-US"/>
              </w:rPr>
              <w:fldChar w:fldCharType="end"/>
            </w:r>
            <w:bookmarkEnd w:id="1"/>
            <w:r w:rsidRPr="00597138">
              <w:rPr>
                <w:rFonts w:eastAsia="Times New Roman"/>
                <w:bCs/>
                <w:sz w:val="22"/>
                <w:lang w:val="en-US"/>
              </w:rPr>
              <w:t xml:space="preserve">: </w:t>
            </w:r>
            <w:r>
              <w:rPr>
                <w:rFonts w:eastAsia="Times New Roman"/>
                <w:bCs/>
                <w:sz w:val="22"/>
                <w:lang w:val="en-US"/>
              </w:rPr>
              <w:t>Example histograms for triad scores</w:t>
            </w:r>
          </w:p>
        </w:tc>
      </w:tr>
    </w:tbl>
    <w:p w:rsidR="00B344E2" w:rsidRDefault="002A114D" w:rsidP="00415128">
      <w:pPr>
        <w:jc w:val="both"/>
        <w:rPr>
          <w:lang w:val="en-US"/>
        </w:rPr>
      </w:pPr>
      <w:r>
        <w:rPr>
          <w:lang w:val="en-US"/>
        </w:rPr>
        <w:t>Dividing the number of circular triads by the total number of possible triads in the listening test</w:t>
      </w:r>
      <w:r w:rsidR="00E37052">
        <w:rPr>
          <w:lang w:val="en-US"/>
        </w:rPr>
        <w:t xml:space="preserve"> (480)</w:t>
      </w:r>
      <w:r>
        <w:rPr>
          <w:lang w:val="en-US"/>
        </w:rPr>
        <w:t xml:space="preserve"> gives the circular triad ratio, a single value that quantifies the reliability of the test subject. </w:t>
      </w:r>
      <w:r w:rsidR="00D4090B">
        <w:rPr>
          <w:lang w:val="en-US"/>
        </w:rPr>
        <w:t xml:space="preserve">An overview of all the circular triad ratios is depicted in </w:t>
      </w:r>
      <w:r w:rsidR="00B344E2">
        <w:rPr>
          <w:lang w:val="en-US"/>
        </w:rPr>
        <w:fldChar w:fldCharType="begin"/>
      </w:r>
      <w:r w:rsidR="00B344E2">
        <w:rPr>
          <w:lang w:val="en-US"/>
        </w:rPr>
        <w:instrText xml:space="preserve"> REF _Ref504730992 \h </w:instrText>
      </w:r>
      <w:r w:rsidR="00B344E2">
        <w:rPr>
          <w:lang w:val="en-US"/>
        </w:rPr>
      </w:r>
      <w:r w:rsidR="00B344E2">
        <w:rPr>
          <w:lang w:val="en-US"/>
        </w:rPr>
        <w:fldChar w:fldCharType="separate"/>
      </w:r>
      <w:r w:rsidR="00B344E2" w:rsidRPr="00597138">
        <w:rPr>
          <w:rFonts w:eastAsia="Times New Roman"/>
          <w:bCs/>
          <w:lang w:val="en-US"/>
        </w:rPr>
        <w:t xml:space="preserve">Figure </w:t>
      </w:r>
      <w:r w:rsidR="00B344E2">
        <w:rPr>
          <w:rFonts w:eastAsia="Times New Roman"/>
          <w:bCs/>
          <w:noProof/>
          <w:lang w:val="en-US"/>
        </w:rPr>
        <w:t>2</w:t>
      </w:r>
      <w:r w:rsidR="00B344E2">
        <w:rPr>
          <w:lang w:val="en-US"/>
        </w:rPr>
        <w:fldChar w:fldCharType="end"/>
      </w:r>
      <w:r w:rsidR="00B344E2">
        <w:rPr>
          <w:lang w:val="en-US"/>
        </w:rPr>
        <w:t xml:space="preserve">. Most test subjects had no or a very limited number of circular triads </w:t>
      </w:r>
      <w:r w:rsidR="00250130">
        <w:rPr>
          <w:lang w:val="en-US"/>
        </w:rPr>
        <w:t>but</w:t>
      </w:r>
      <w:r w:rsidR="00B344E2">
        <w:rPr>
          <w:lang w:val="en-US"/>
        </w:rPr>
        <w:t xml:space="preserve"> there are four clear outliers with circular triad ratios above 10%. </w:t>
      </w:r>
    </w:p>
    <w:p w:rsidR="00415128" w:rsidRDefault="00B344E2" w:rsidP="00415128">
      <w:pPr>
        <w:jc w:val="both"/>
        <w:rPr>
          <w:lang w:val="en-US"/>
        </w:rPr>
      </w:pPr>
      <w:r>
        <w:rPr>
          <w:noProof/>
          <w:lang w:val="en-US"/>
        </w:rPr>
        <w:lastRenderedPageBreak/>
        <w:drawing>
          <wp:inline distT="0" distB="0" distL="0" distR="0" wp14:anchorId="7EF6D383" wp14:editId="5E1D3FCD">
            <wp:extent cx="3600000" cy="2700000"/>
            <wp:effectExtent l="0" t="0" r="635" b="5715"/>
            <wp:docPr id="5" name="Grafik 5" descr="C:\SVN\dokumente_telecom\Standardisierungsbeiträge\3GPP\2018\S4-18XXXX_LiQuImAS-Auditory Assessment of Audio Systems\Figures\circulartriadrati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SVN\dokumente_telecom\Standardisierungsbeiträge\3GPP\2018\S4-18XXXX_LiQuImAS-Auditory Assessment of Audio Systems\Figures\circulartriadratio.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0000" cy="2700000"/>
                    </a:xfrm>
                    <a:prstGeom prst="rect">
                      <a:avLst/>
                    </a:prstGeom>
                    <a:noFill/>
                    <a:ln>
                      <a:noFill/>
                    </a:ln>
                  </pic:spPr>
                </pic:pic>
              </a:graphicData>
            </a:graphic>
          </wp:inline>
        </w:drawing>
      </w:r>
    </w:p>
    <w:tbl>
      <w:tblPr>
        <w:tblStyle w:val="Tabellenraster"/>
        <w:tblpPr w:leftFromText="141" w:rightFromText="141" w:vertAnchor="text" w:horzAnchor="margin" w:tblpY="17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2"/>
      </w:tblGrid>
      <w:tr w:rsidR="00B344E2" w:rsidRPr="00DF0C71" w:rsidTr="00B344E2">
        <w:tc>
          <w:tcPr>
            <w:tcW w:w="9342" w:type="dxa"/>
          </w:tcPr>
          <w:p w:rsidR="00B344E2" w:rsidRPr="00DF0C71" w:rsidRDefault="00B344E2" w:rsidP="00B344E2">
            <w:pPr>
              <w:pStyle w:val="Beschriftung"/>
              <w:keepNext/>
              <w:rPr>
                <w:rFonts w:eastAsia="Times New Roman"/>
                <w:bCs/>
                <w:sz w:val="22"/>
                <w:lang w:val="en-US"/>
              </w:rPr>
            </w:pPr>
            <w:bookmarkStart w:id="2" w:name="_Ref504730992"/>
            <w:r w:rsidRPr="00597138">
              <w:rPr>
                <w:rFonts w:eastAsia="Times New Roman"/>
                <w:bCs/>
                <w:sz w:val="22"/>
                <w:lang w:val="en-US"/>
              </w:rPr>
              <w:t xml:space="preserve">Figure </w:t>
            </w:r>
            <w:r w:rsidRPr="00597138">
              <w:rPr>
                <w:bCs/>
                <w:sz w:val="22"/>
                <w:lang w:val="en-US"/>
              </w:rPr>
              <w:fldChar w:fldCharType="begin"/>
            </w:r>
            <w:r w:rsidRPr="00597138">
              <w:rPr>
                <w:rFonts w:eastAsia="Times New Roman"/>
                <w:bCs/>
                <w:sz w:val="22"/>
                <w:lang w:val="en-US"/>
              </w:rPr>
              <w:instrText xml:space="preserve"> SEQ Figure \* ARABIC </w:instrText>
            </w:r>
            <w:r w:rsidRPr="00597138">
              <w:rPr>
                <w:bCs/>
                <w:sz w:val="22"/>
                <w:lang w:val="en-US"/>
              </w:rPr>
              <w:fldChar w:fldCharType="separate"/>
            </w:r>
            <w:r>
              <w:rPr>
                <w:rFonts w:eastAsia="Times New Roman"/>
                <w:bCs/>
                <w:noProof/>
                <w:sz w:val="22"/>
                <w:lang w:val="en-US"/>
              </w:rPr>
              <w:t>2</w:t>
            </w:r>
            <w:r w:rsidRPr="00597138">
              <w:rPr>
                <w:bCs/>
                <w:sz w:val="22"/>
                <w:lang w:val="en-US"/>
              </w:rPr>
              <w:fldChar w:fldCharType="end"/>
            </w:r>
            <w:bookmarkEnd w:id="2"/>
            <w:r w:rsidRPr="00597138">
              <w:rPr>
                <w:rFonts w:eastAsia="Times New Roman"/>
                <w:bCs/>
                <w:sz w:val="22"/>
                <w:lang w:val="en-US"/>
              </w:rPr>
              <w:t xml:space="preserve">: </w:t>
            </w:r>
            <w:r>
              <w:rPr>
                <w:rFonts w:eastAsia="Times New Roman"/>
                <w:bCs/>
                <w:sz w:val="22"/>
                <w:lang w:val="en-US"/>
              </w:rPr>
              <w:t xml:space="preserve">Histogram </w:t>
            </w:r>
            <w:r w:rsidR="002A114D">
              <w:rPr>
                <w:rFonts w:eastAsia="Times New Roman"/>
                <w:bCs/>
                <w:sz w:val="22"/>
                <w:lang w:val="en-US"/>
              </w:rPr>
              <w:t xml:space="preserve">of </w:t>
            </w:r>
            <w:r>
              <w:rPr>
                <w:rFonts w:eastAsia="Times New Roman"/>
                <w:bCs/>
                <w:sz w:val="22"/>
                <w:lang w:val="en-US"/>
              </w:rPr>
              <w:t>all circular triad ratios</w:t>
            </w:r>
          </w:p>
        </w:tc>
      </w:tr>
    </w:tbl>
    <w:p w:rsidR="004A6D22" w:rsidRDefault="002A114D" w:rsidP="004A6D22">
      <w:r>
        <w:rPr>
          <w:lang w:val="en-US"/>
        </w:rPr>
        <w:t xml:space="preserve">Based on the ratio of circular triads, the results for the least reliable test subjects were excluded. From the experience gained so far, a threshold </w:t>
      </w:r>
      <w:r w:rsidR="00452C19">
        <w:rPr>
          <w:lang w:val="en-US"/>
        </w:rPr>
        <w:t xml:space="preserve">for the ratio of circular triads </w:t>
      </w:r>
      <w:r>
        <w:rPr>
          <w:lang w:val="en-US"/>
        </w:rPr>
        <w:t>of 7-10% appears to be a reasonable choice.</w:t>
      </w:r>
      <w:r w:rsidR="00831C85">
        <w:t xml:space="preserve"> </w:t>
      </w:r>
    </w:p>
    <w:p w:rsidR="002B555C" w:rsidRDefault="00E37052" w:rsidP="002B555C">
      <w:pPr>
        <w:pStyle w:val="berschrift1"/>
        <w:numPr>
          <w:ilvl w:val="1"/>
          <w:numId w:val="7"/>
        </w:numPr>
        <w:jc w:val="both"/>
        <w:rPr>
          <w:rFonts w:eastAsia="Times New Roman"/>
          <w:b/>
        </w:rPr>
      </w:pPr>
      <w:r>
        <w:rPr>
          <w:rFonts w:eastAsia="Times New Roman"/>
          <w:b/>
        </w:rPr>
        <w:t>Mapping to absolute scale</w:t>
      </w:r>
    </w:p>
    <w:p w:rsidR="002A114D" w:rsidRDefault="00712674" w:rsidP="007E522B">
      <w:r>
        <w:t xml:space="preserve">In Absolute Category Rating (ACR) or Degradation Category Rating (DCR) tests, it is straightforward how to determine the overall ranking of the test conditions or devices under test, respectively. A </w:t>
      </w:r>
      <w:r w:rsidR="00793000">
        <w:t>comparative</w:t>
      </w:r>
      <w:r>
        <w:t xml:space="preserve"> test requires an additional analysis step that maps the results onto an absolute scale. </w:t>
      </w:r>
      <w:r w:rsidR="00793000">
        <w:t xml:space="preserve">An overview for different approaches for paired comparison data can be found in </w:t>
      </w:r>
      <w:sdt>
        <w:sdtPr>
          <w:id w:val="-1629930572"/>
          <w:citation/>
        </w:sdtPr>
        <w:sdtEndPr/>
        <w:sdtContent>
          <w:r w:rsidR="00793000">
            <w:fldChar w:fldCharType="begin"/>
          </w:r>
          <w:r w:rsidR="00793000" w:rsidRPr="00793000">
            <w:rPr>
              <w:lang w:val="en-US"/>
            </w:rPr>
            <w:instrText xml:space="preserve"> CITATION Tsu11 \l 1031 </w:instrText>
          </w:r>
          <w:r w:rsidR="00793000">
            <w:fldChar w:fldCharType="separate"/>
          </w:r>
          <w:r w:rsidR="00793000" w:rsidRPr="00793000">
            <w:rPr>
              <w:noProof/>
              <w:lang w:val="en-US"/>
            </w:rPr>
            <w:t>[3]</w:t>
          </w:r>
          <w:r w:rsidR="00793000">
            <w:fldChar w:fldCharType="end"/>
          </w:r>
        </w:sdtContent>
      </w:sdt>
      <w:r w:rsidR="00793000">
        <w:t>.</w:t>
      </w:r>
    </w:p>
    <w:p w:rsidR="00793000" w:rsidRDefault="00793000" w:rsidP="00B2407C">
      <w:r>
        <w:t xml:space="preserve">All approaches can also be used for CCR </w:t>
      </w:r>
      <w:r w:rsidR="00452C19">
        <w:t>results</w:t>
      </w:r>
      <w:r>
        <w:t xml:space="preserve"> if they are interpreted in analogy to paired comparison </w:t>
      </w:r>
      <w:r w:rsidR="00452C19">
        <w:t>results</w:t>
      </w:r>
      <w:r>
        <w:t xml:space="preserve">. This analogy requires </w:t>
      </w:r>
      <w:r w:rsidR="00B2407C">
        <w:t xml:space="preserve">constructing </w:t>
      </w:r>
      <w:r>
        <w:t xml:space="preserve">a </w:t>
      </w:r>
      <w:r w:rsidR="00B2407C">
        <w:t xml:space="preserve">matrix of preferences </w:t>
      </w:r>
      <m:oMath>
        <m:sSub>
          <m:sSubPr>
            <m:ctrlPr>
              <w:rPr>
                <w:rFonts w:ascii="Cambria Math" w:hAnsi="Cambria Math"/>
                <w:i/>
              </w:rPr>
            </m:ctrlPr>
          </m:sSubPr>
          <m:e>
            <m:r>
              <w:rPr>
                <w:rFonts w:ascii="Cambria Math" w:hAnsi="Cambria Math"/>
              </w:rPr>
              <m:t>C</m:t>
            </m:r>
            <m:ctrlPr>
              <w:rPr>
                <w:rFonts w:ascii="Cambria Math" w:hAnsi="Cambria Math"/>
              </w:rPr>
            </m:ctrlPr>
          </m:e>
          <m:sub>
            <m:r>
              <m:rPr>
                <m:sty m:val="p"/>
              </m:rPr>
              <w:rPr>
                <w:rFonts w:ascii="Cambria Math" w:hAnsi="Cambria Math"/>
              </w:rPr>
              <m:t>CCR</m:t>
            </m:r>
          </m:sub>
        </m:sSub>
      </m:oMath>
      <w:r w:rsidR="00B2407C">
        <w:t xml:space="preserve"> (cf. from </w:t>
      </w:r>
      <w:sdt>
        <w:sdtPr>
          <w:id w:val="829867690"/>
          <w:citation/>
        </w:sdtPr>
        <w:sdtEndPr/>
        <w:sdtContent>
          <w:r w:rsidR="00B2407C">
            <w:fldChar w:fldCharType="begin"/>
          </w:r>
          <w:r w:rsidR="00B2407C" w:rsidRPr="00B2407C">
            <w:rPr>
              <w:lang w:val="en-US"/>
            </w:rPr>
            <w:instrText xml:space="preserve"> CITATION Tsu11 \l 1031 </w:instrText>
          </w:r>
          <w:r w:rsidR="00B2407C">
            <w:fldChar w:fldCharType="separate"/>
          </w:r>
          <w:r w:rsidR="00B2407C" w:rsidRPr="00B2407C">
            <w:rPr>
              <w:noProof/>
              <w:lang w:val="en-US"/>
            </w:rPr>
            <w:t>[3]</w:t>
          </w:r>
          <w:r w:rsidR="00B2407C">
            <w:fldChar w:fldCharType="end"/>
          </w:r>
        </w:sdtContent>
      </w:sdt>
      <w:r w:rsidR="00B2407C">
        <w:t>: “The result of a paired comparis</w:t>
      </w:r>
      <w:r w:rsidR="00DA3A8C">
        <w:t>on experiment is a count matrix</w:t>
      </w:r>
      <w:proofErr w:type="gramStart"/>
      <w:r w:rsidR="00DA3A8C">
        <w:t>,</w:t>
      </w:r>
      <w:r w:rsidR="00B2407C">
        <w:t xml:space="preserve"> </w:t>
      </w:r>
      <w:proofErr w:type="gramEnd"/>
      <m:oMath>
        <m:r>
          <w:rPr>
            <w:rFonts w:ascii="Cambria Math" w:hAnsi="Cambria Math"/>
          </w:rPr>
          <m:t>C</m:t>
        </m:r>
      </m:oMath>
      <w:r w:rsidR="00B2407C">
        <w:t xml:space="preserve">, of the number of times that each option was preferred over every other option […]”) from the CCR results </w:t>
      </w:r>
      <m:oMath>
        <m:r>
          <w:rPr>
            <w:rFonts w:ascii="Cambria Math" w:hAnsi="Cambria Math"/>
          </w:rPr>
          <m:t>C</m:t>
        </m:r>
        <m:sSub>
          <m:sSubPr>
            <m:ctrlPr>
              <w:rPr>
                <w:rFonts w:ascii="Cambria Math" w:hAnsi="Cambria Math"/>
                <w:i/>
              </w:rPr>
            </m:ctrlPr>
          </m:sSubPr>
          <m:e>
            <m:r>
              <w:rPr>
                <w:rFonts w:ascii="Cambria Math" w:hAnsi="Cambria Math"/>
              </w:rPr>
              <m:t>R</m:t>
            </m:r>
          </m:e>
          <m:sub>
            <m:r>
              <m:rPr>
                <m:sty m:val="p"/>
              </m:rPr>
              <w:rPr>
                <w:rFonts w:ascii="Cambria Math" w:hAnsi="Cambria Math"/>
              </w:rPr>
              <m:t>S</m:t>
            </m:r>
          </m:sub>
        </m:sSub>
        <m:d>
          <m:dPr>
            <m:ctrlPr>
              <w:rPr>
                <w:rFonts w:ascii="Cambria Math" w:hAnsi="Cambria Math"/>
                <w:i/>
              </w:rPr>
            </m:ctrlPr>
          </m:dPr>
          <m:e>
            <m:r>
              <w:rPr>
                <w:rFonts w:ascii="Cambria Math" w:hAnsi="Cambria Math"/>
              </w:rPr>
              <m:t>A,B</m:t>
            </m:r>
          </m:e>
        </m:d>
      </m:oMath>
      <w:r w:rsidR="00382253">
        <w:t xml:space="preserve"> </w:t>
      </w:r>
      <w:r w:rsidR="00B2407C">
        <w:t xml:space="preserve">by first </w:t>
      </w:r>
      <w:r w:rsidR="00382253">
        <w:t xml:space="preserve">rescaling them according to </w:t>
      </w:r>
    </w:p>
    <w:p w:rsidR="00382253" w:rsidRDefault="00B561C5" w:rsidP="00B2407C">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CR</m:t>
                  </m:r>
                </m:e>
              </m:acc>
            </m:e>
            <m:sub>
              <m:r>
                <m:rPr>
                  <m:sty m:val="p"/>
                </m:rPr>
                <w:rPr>
                  <w:rFonts w:ascii="Cambria Math" w:hAnsi="Cambria Math"/>
                </w:rPr>
                <m:t>S</m:t>
              </m:r>
            </m:sub>
          </m:sSub>
          <m:d>
            <m:dPr>
              <m:ctrlPr>
                <w:rPr>
                  <w:rFonts w:ascii="Cambria Math" w:hAnsi="Cambria Math"/>
                  <w:i/>
                </w:rPr>
              </m:ctrlPr>
            </m:dPr>
            <m:e>
              <m:r>
                <w:rPr>
                  <w:rFonts w:ascii="Cambria Math" w:hAnsi="Cambria Math"/>
                </w:rPr>
                <m:t>A,B</m:t>
              </m:r>
            </m:e>
          </m:d>
          <m:r>
            <w:rPr>
              <w:rFonts w:ascii="Cambria Math" w:hAnsi="Cambria Math"/>
            </w:rPr>
            <m:t>=</m:t>
          </m:r>
          <m:f>
            <m:fPr>
              <m:ctrlPr>
                <w:rPr>
                  <w:rFonts w:ascii="Cambria Math" w:hAnsi="Cambria Math"/>
                  <w:i/>
                </w:rPr>
              </m:ctrlPr>
            </m:fPr>
            <m:num>
              <m:r>
                <w:rPr>
                  <w:rFonts w:ascii="Cambria Math" w:hAnsi="Cambria Math"/>
                </w:rPr>
                <m:t>C</m:t>
              </m:r>
              <m:sSub>
                <m:sSubPr>
                  <m:ctrlPr>
                    <w:rPr>
                      <w:rFonts w:ascii="Cambria Math" w:hAnsi="Cambria Math"/>
                      <w:i/>
                    </w:rPr>
                  </m:ctrlPr>
                </m:sSubPr>
                <m:e>
                  <m:r>
                    <w:rPr>
                      <w:rFonts w:ascii="Cambria Math" w:hAnsi="Cambria Math"/>
                    </w:rPr>
                    <m:t>R</m:t>
                  </m:r>
                </m:e>
                <m:sub>
                  <m:r>
                    <m:rPr>
                      <m:sty m:val="p"/>
                    </m:rPr>
                    <w:rPr>
                      <w:rFonts w:ascii="Cambria Math" w:hAnsi="Cambria Math"/>
                    </w:rPr>
                    <m:t>S</m:t>
                  </m:r>
                </m:sub>
              </m:sSub>
              <m:d>
                <m:dPr>
                  <m:ctrlPr>
                    <w:rPr>
                      <w:rFonts w:ascii="Cambria Math" w:hAnsi="Cambria Math"/>
                      <w:i/>
                    </w:rPr>
                  </m:ctrlPr>
                </m:dPr>
                <m:e>
                  <m:r>
                    <w:rPr>
                      <w:rFonts w:ascii="Cambria Math" w:hAnsi="Cambria Math"/>
                    </w:rPr>
                    <m:t>A,B</m:t>
                  </m:r>
                </m:e>
              </m:d>
              <m:r>
                <w:rPr>
                  <w:rFonts w:ascii="Cambria Math" w:hAnsi="Cambria Math"/>
                </w:rPr>
                <m:t>+3</m:t>
              </m:r>
            </m:num>
            <m:den>
              <m:r>
                <w:rPr>
                  <w:rFonts w:ascii="Cambria Math" w:hAnsi="Cambria Math"/>
                </w:rPr>
                <m:t>6</m:t>
              </m:r>
            </m:den>
          </m:f>
        </m:oMath>
      </m:oMathPara>
    </w:p>
    <w:p w:rsidR="002B555C" w:rsidRDefault="00382253" w:rsidP="007E522B">
      <w:proofErr w:type="gramStart"/>
      <w:r>
        <w:t>and</w:t>
      </w:r>
      <w:proofErr w:type="gramEnd"/>
      <w:r>
        <w:t xml:space="preserve"> summing over the test subjects:</w:t>
      </w:r>
    </w:p>
    <w:p w:rsidR="00382253" w:rsidRPr="00382253" w:rsidRDefault="00B561C5" w:rsidP="007E522B">
      <m:oMathPara>
        <m:oMath>
          <m:sSub>
            <m:sSubPr>
              <m:ctrlPr>
                <w:rPr>
                  <w:rFonts w:ascii="Cambria Math" w:hAnsi="Cambria Math"/>
                  <w:i/>
                </w:rPr>
              </m:ctrlPr>
            </m:sSubPr>
            <m:e>
              <m:r>
                <w:rPr>
                  <w:rFonts w:ascii="Cambria Math" w:hAnsi="Cambria Math"/>
                </w:rPr>
                <m:t>C</m:t>
              </m:r>
              <m:ctrlPr>
                <w:rPr>
                  <w:rFonts w:ascii="Cambria Math" w:hAnsi="Cambria Math"/>
                </w:rPr>
              </m:ctrlPr>
            </m:e>
            <m:sub>
              <m:r>
                <m:rPr>
                  <m:sty m:val="p"/>
                </m:rPr>
                <w:rPr>
                  <w:rFonts w:ascii="Cambria Math" w:hAnsi="Cambria Math"/>
                </w:rPr>
                <m:t>CCR</m:t>
              </m:r>
            </m:sub>
          </m:sSub>
          <m:d>
            <m:dPr>
              <m:ctrlPr>
                <w:rPr>
                  <w:rFonts w:ascii="Cambria Math" w:eastAsia="Cambria Math" w:hAnsi="Cambria Math" w:cs="Cambria Math"/>
                  <w:i/>
                </w:rPr>
              </m:ctrlPr>
            </m:dPr>
            <m:e>
              <m:r>
                <w:rPr>
                  <w:rFonts w:ascii="Cambria Math" w:eastAsia="Cambria Math" w:hAnsi="Cambria Math" w:cs="Cambria Math"/>
                </w:rPr>
                <m:t>A,B</m:t>
              </m:r>
            </m:e>
          </m:d>
          <m:r>
            <w:rPr>
              <w:rFonts w:ascii="Cambria Math" w:eastAsia="Cambria Math" w:hAnsi="Cambria Math" w:cs="Cambria Math"/>
            </w:rPr>
            <m:t>=</m:t>
          </m:r>
          <m:nary>
            <m:naryPr>
              <m:chr m:val="∑"/>
              <m:limLoc m:val="undOvr"/>
              <m:supHide m:val="1"/>
              <m:ctrlPr>
                <w:rPr>
                  <w:rFonts w:ascii="Cambria Math" w:eastAsia="Cambria Math" w:hAnsi="Cambria Math" w:cs="Cambria Math"/>
                  <w:i/>
                </w:rPr>
              </m:ctrlPr>
            </m:naryPr>
            <m:sub>
              <m:r>
                <w:rPr>
                  <w:rFonts w:ascii="Cambria Math" w:eastAsia="Cambria Math" w:hAnsi="Cambria Math" w:cs="Cambria Math"/>
                </w:rPr>
                <m:t>S</m:t>
              </m:r>
            </m:sub>
            <m:sup/>
            <m:e>
              <m:sSub>
                <m:sSubPr>
                  <m:ctrlPr>
                    <w:rPr>
                      <w:rFonts w:ascii="Cambria Math" w:hAnsi="Cambria Math"/>
                      <w:i/>
                    </w:rPr>
                  </m:ctrlPr>
                </m:sSubPr>
                <m:e>
                  <m:acc>
                    <m:accPr>
                      <m:chr m:val="̃"/>
                      <m:ctrlPr>
                        <w:rPr>
                          <w:rFonts w:ascii="Cambria Math" w:hAnsi="Cambria Math"/>
                          <w:i/>
                        </w:rPr>
                      </m:ctrlPr>
                    </m:accPr>
                    <m:e>
                      <m:r>
                        <w:rPr>
                          <w:rFonts w:ascii="Cambria Math" w:hAnsi="Cambria Math"/>
                        </w:rPr>
                        <m:t>CR</m:t>
                      </m:r>
                    </m:e>
                  </m:acc>
                </m:e>
                <m:sub>
                  <m:r>
                    <m:rPr>
                      <m:sty m:val="p"/>
                    </m:rPr>
                    <w:rPr>
                      <w:rFonts w:ascii="Cambria Math" w:hAnsi="Cambria Math"/>
                    </w:rPr>
                    <m:t>S</m:t>
                  </m:r>
                </m:sub>
              </m:sSub>
              <m:d>
                <m:dPr>
                  <m:ctrlPr>
                    <w:rPr>
                      <w:rFonts w:ascii="Cambria Math" w:hAnsi="Cambria Math"/>
                      <w:i/>
                    </w:rPr>
                  </m:ctrlPr>
                </m:dPr>
                <m:e>
                  <m:r>
                    <w:rPr>
                      <w:rFonts w:ascii="Cambria Math" w:hAnsi="Cambria Math"/>
                    </w:rPr>
                    <m:t>A,B</m:t>
                  </m:r>
                </m:e>
              </m:d>
            </m:e>
          </m:nary>
          <m:r>
            <w:rPr>
              <w:rFonts w:ascii="Cambria Math" w:eastAsia="Cambria Math" w:hAnsi="Cambria Math" w:cs="Cambria Math"/>
            </w:rPr>
            <m:t>.</m:t>
          </m:r>
        </m:oMath>
      </m:oMathPara>
    </w:p>
    <w:p w:rsidR="00F40763" w:rsidRDefault="00DA3A8C" w:rsidP="007E522B">
      <w:r>
        <w:t xml:space="preserve">This ensures that the resulting matrix can then be processed with exactly the same methodologies that are described in </w:t>
      </w:r>
      <w:sdt>
        <w:sdtPr>
          <w:id w:val="-327828297"/>
          <w:citation/>
        </w:sdtPr>
        <w:sdtEndPr/>
        <w:sdtContent>
          <w:r>
            <w:fldChar w:fldCharType="begin"/>
          </w:r>
          <w:r w:rsidRPr="00DA3A8C">
            <w:rPr>
              <w:lang w:val="en-US"/>
            </w:rPr>
            <w:instrText xml:space="preserve"> CITATION Tsu11 \l 1031 </w:instrText>
          </w:r>
          <w:r>
            <w:fldChar w:fldCharType="separate"/>
          </w:r>
          <w:r w:rsidRPr="00DA3A8C">
            <w:rPr>
              <w:noProof/>
              <w:lang w:val="en-US"/>
            </w:rPr>
            <w:t>[3]</w:t>
          </w:r>
          <w:r>
            <w:fldChar w:fldCharType="end"/>
          </w:r>
        </w:sdtContent>
      </w:sdt>
      <w:r>
        <w:t>.</w:t>
      </w:r>
      <w:r w:rsidR="00F40763">
        <w:t xml:space="preserve"> Doing so for the results </w:t>
      </w:r>
      <w:r w:rsidR="00452C19">
        <w:t xml:space="preserve">of this CCR test </w:t>
      </w:r>
      <w:r w:rsidR="00F40763">
        <w:t>leads to different rankings on the different quality scales, e.g., the best system regarding timbre only reaches the third place for immersion.</w:t>
      </w:r>
    </w:p>
    <w:p w:rsidR="00E37052" w:rsidRDefault="00E37052" w:rsidP="007E522B">
      <w:r>
        <w:t xml:space="preserve">As an example, the votes on the timbre scale for one of the songs are considered. </w:t>
      </w:r>
      <w:r>
        <w:fldChar w:fldCharType="begin"/>
      </w:r>
      <w:r>
        <w:instrText xml:space="preserve"> REF _Ref505071823 \h </w:instrText>
      </w:r>
      <w:r>
        <w:fldChar w:fldCharType="separate"/>
      </w:r>
      <w:r>
        <w:t xml:space="preserve">Table </w:t>
      </w:r>
      <w:r>
        <w:rPr>
          <w:noProof/>
        </w:rPr>
        <w:t>1</w:t>
      </w:r>
      <w:r>
        <w:fldChar w:fldCharType="end"/>
      </w:r>
      <w:r>
        <w:t xml:space="preserve"> gives the resulting values after rescaling and summation over all subjects.</w:t>
      </w:r>
    </w:p>
    <w:p w:rsidR="00E37052" w:rsidRDefault="00E37052" w:rsidP="00E37052">
      <w:pPr>
        <w:pStyle w:val="Beschriftung"/>
        <w:keepNext/>
      </w:pPr>
      <w:bookmarkStart w:id="3" w:name="_Ref505071823"/>
      <w:r>
        <w:lastRenderedPageBreak/>
        <w:t xml:space="preserve">Table </w:t>
      </w:r>
      <w:r>
        <w:fldChar w:fldCharType="begin"/>
      </w:r>
      <w:r>
        <w:instrText xml:space="preserve"> SEQ Table \* ARABIC </w:instrText>
      </w:r>
      <w:r>
        <w:fldChar w:fldCharType="separate"/>
      </w:r>
      <w:r>
        <w:rPr>
          <w:noProof/>
        </w:rPr>
        <w:t>1</w:t>
      </w:r>
      <w:r>
        <w:fldChar w:fldCharType="end"/>
      </w:r>
      <w:bookmarkEnd w:id="3"/>
      <w:r>
        <w:t>: Example results of a part of the listening test</w:t>
      </w:r>
    </w:p>
    <w:tbl>
      <w:tblPr>
        <w:tblStyle w:val="Tabellenraster"/>
        <w:tblW w:w="0" w:type="auto"/>
        <w:jc w:val="center"/>
        <w:tblLook w:val="04A0" w:firstRow="1" w:lastRow="0" w:firstColumn="1" w:lastColumn="0" w:noHBand="0" w:noVBand="1"/>
      </w:tblPr>
      <w:tblGrid>
        <w:gridCol w:w="1133"/>
        <w:gridCol w:w="1133"/>
        <w:gridCol w:w="1133"/>
        <w:gridCol w:w="1133"/>
        <w:gridCol w:w="1133"/>
        <w:gridCol w:w="1133"/>
        <w:gridCol w:w="1133"/>
      </w:tblGrid>
      <w:tr w:rsidR="00E37052" w:rsidTr="0065366E">
        <w:trPr>
          <w:cantSplit/>
          <w:jc w:val="center"/>
        </w:trPr>
        <w:tc>
          <w:tcPr>
            <w:tcW w:w="0" w:type="auto"/>
            <w:tcBorders>
              <w:top w:val="nil"/>
              <w:left w:val="nil"/>
            </w:tcBorders>
            <w:vAlign w:val="center"/>
          </w:tcPr>
          <w:p w:rsidR="00E37052" w:rsidRDefault="00E37052" w:rsidP="0065366E">
            <w:pPr>
              <w:keepNext/>
              <w:keepLines/>
              <w:jc w:val="center"/>
            </w:pPr>
          </w:p>
        </w:tc>
        <w:tc>
          <w:tcPr>
            <w:tcW w:w="0" w:type="auto"/>
            <w:vAlign w:val="center"/>
          </w:tcPr>
          <w:p w:rsidR="00E37052" w:rsidRDefault="00E37052" w:rsidP="0065366E">
            <w:pPr>
              <w:keepNext/>
              <w:keepLines/>
              <w:jc w:val="center"/>
            </w:pPr>
            <w:r>
              <w:t>System 1</w:t>
            </w:r>
          </w:p>
        </w:tc>
        <w:tc>
          <w:tcPr>
            <w:tcW w:w="0" w:type="auto"/>
            <w:vAlign w:val="center"/>
          </w:tcPr>
          <w:p w:rsidR="00E37052" w:rsidRDefault="00E37052" w:rsidP="0065366E">
            <w:pPr>
              <w:keepNext/>
              <w:keepLines/>
              <w:jc w:val="center"/>
            </w:pPr>
            <w:r>
              <w:t>System 2</w:t>
            </w:r>
          </w:p>
        </w:tc>
        <w:tc>
          <w:tcPr>
            <w:tcW w:w="0" w:type="auto"/>
            <w:vAlign w:val="center"/>
          </w:tcPr>
          <w:p w:rsidR="00E37052" w:rsidRDefault="00E37052" w:rsidP="0065366E">
            <w:pPr>
              <w:keepNext/>
              <w:keepLines/>
              <w:jc w:val="center"/>
            </w:pPr>
            <w:r>
              <w:t>System 3</w:t>
            </w:r>
          </w:p>
        </w:tc>
        <w:tc>
          <w:tcPr>
            <w:tcW w:w="0" w:type="auto"/>
            <w:vAlign w:val="center"/>
          </w:tcPr>
          <w:p w:rsidR="00E37052" w:rsidRDefault="00E37052" w:rsidP="0065366E">
            <w:pPr>
              <w:keepNext/>
              <w:keepLines/>
              <w:jc w:val="center"/>
            </w:pPr>
            <w:r>
              <w:t>System 4</w:t>
            </w:r>
          </w:p>
        </w:tc>
        <w:tc>
          <w:tcPr>
            <w:tcW w:w="0" w:type="auto"/>
            <w:vAlign w:val="center"/>
          </w:tcPr>
          <w:p w:rsidR="00E37052" w:rsidRDefault="00E37052" w:rsidP="0065366E">
            <w:pPr>
              <w:keepNext/>
              <w:keepLines/>
              <w:jc w:val="center"/>
            </w:pPr>
            <w:r>
              <w:t>System 5</w:t>
            </w:r>
          </w:p>
        </w:tc>
        <w:tc>
          <w:tcPr>
            <w:tcW w:w="0" w:type="auto"/>
            <w:vAlign w:val="center"/>
          </w:tcPr>
          <w:p w:rsidR="00E37052" w:rsidRDefault="00E37052" w:rsidP="0065366E">
            <w:pPr>
              <w:keepNext/>
              <w:keepLines/>
              <w:jc w:val="center"/>
            </w:pPr>
            <w:r>
              <w:t>System 6</w:t>
            </w:r>
          </w:p>
        </w:tc>
      </w:tr>
      <w:tr w:rsidR="00E37052" w:rsidTr="0065366E">
        <w:trPr>
          <w:cantSplit/>
          <w:jc w:val="center"/>
        </w:trPr>
        <w:tc>
          <w:tcPr>
            <w:tcW w:w="0" w:type="auto"/>
            <w:vAlign w:val="center"/>
          </w:tcPr>
          <w:p w:rsidR="00E37052" w:rsidRDefault="00E37052" w:rsidP="0065366E">
            <w:pPr>
              <w:keepNext/>
              <w:keepLines/>
              <w:jc w:val="center"/>
            </w:pPr>
            <w:r>
              <w:t>System 1</w:t>
            </w:r>
          </w:p>
        </w:tc>
        <w:tc>
          <w:tcPr>
            <w:tcW w:w="0" w:type="auto"/>
            <w:shd w:val="clear" w:color="auto" w:fill="E7E6E6" w:themeFill="background2"/>
            <w:vAlign w:val="center"/>
          </w:tcPr>
          <w:p w:rsidR="00E37052" w:rsidRDefault="00E37052" w:rsidP="0065366E">
            <w:pPr>
              <w:keepNext/>
              <w:keepLines/>
              <w:jc w:val="center"/>
            </w:pPr>
          </w:p>
        </w:tc>
        <w:tc>
          <w:tcPr>
            <w:tcW w:w="0" w:type="auto"/>
            <w:vAlign w:val="center"/>
          </w:tcPr>
          <w:p w:rsidR="00E37052" w:rsidRPr="00596AEC" w:rsidRDefault="00596AEC" w:rsidP="003844DC">
            <w:pPr>
              <w:keepNext/>
              <w:keepLines/>
              <w:jc w:val="center"/>
              <w:rPr>
                <w:lang w:val="en-US"/>
              </w:rPr>
            </w:pPr>
            <w:r>
              <w:t>1</w:t>
            </w:r>
            <w:r w:rsidR="003844DC">
              <w:t>9.17</w:t>
            </w:r>
          </w:p>
        </w:tc>
        <w:tc>
          <w:tcPr>
            <w:tcW w:w="0" w:type="auto"/>
            <w:vAlign w:val="center"/>
          </w:tcPr>
          <w:p w:rsidR="00E37052" w:rsidRDefault="003844DC" w:rsidP="003844DC">
            <w:pPr>
              <w:keepNext/>
              <w:keepLines/>
              <w:jc w:val="center"/>
            </w:pPr>
            <w:r>
              <w:t>9.5</w:t>
            </w:r>
          </w:p>
        </w:tc>
        <w:tc>
          <w:tcPr>
            <w:tcW w:w="0" w:type="auto"/>
            <w:vAlign w:val="center"/>
          </w:tcPr>
          <w:p w:rsidR="00E37052" w:rsidRDefault="003844DC" w:rsidP="0065366E">
            <w:pPr>
              <w:keepNext/>
              <w:keepLines/>
              <w:jc w:val="center"/>
            </w:pPr>
            <w:r>
              <w:t>9.17</w:t>
            </w:r>
          </w:p>
        </w:tc>
        <w:tc>
          <w:tcPr>
            <w:tcW w:w="0" w:type="auto"/>
            <w:vAlign w:val="center"/>
          </w:tcPr>
          <w:p w:rsidR="00E37052" w:rsidRDefault="003844DC" w:rsidP="0065366E">
            <w:pPr>
              <w:keepNext/>
              <w:keepLines/>
              <w:jc w:val="center"/>
            </w:pPr>
            <w:r>
              <w:t>23.67</w:t>
            </w:r>
          </w:p>
        </w:tc>
        <w:tc>
          <w:tcPr>
            <w:tcW w:w="0" w:type="auto"/>
            <w:vAlign w:val="center"/>
          </w:tcPr>
          <w:p w:rsidR="00E37052" w:rsidRDefault="003844DC" w:rsidP="0065366E">
            <w:pPr>
              <w:keepNext/>
              <w:keepLines/>
              <w:jc w:val="center"/>
            </w:pPr>
            <w:r>
              <w:t>11.33</w:t>
            </w:r>
          </w:p>
        </w:tc>
      </w:tr>
      <w:tr w:rsidR="00E37052" w:rsidTr="0065366E">
        <w:trPr>
          <w:cantSplit/>
          <w:jc w:val="center"/>
        </w:trPr>
        <w:tc>
          <w:tcPr>
            <w:tcW w:w="0" w:type="auto"/>
            <w:vAlign w:val="center"/>
          </w:tcPr>
          <w:p w:rsidR="00E37052" w:rsidRDefault="00E37052" w:rsidP="0065366E">
            <w:pPr>
              <w:keepNext/>
              <w:keepLines/>
              <w:jc w:val="center"/>
            </w:pPr>
            <w:r>
              <w:t>System 2</w:t>
            </w:r>
          </w:p>
        </w:tc>
        <w:tc>
          <w:tcPr>
            <w:tcW w:w="0" w:type="auto"/>
            <w:vAlign w:val="center"/>
          </w:tcPr>
          <w:p w:rsidR="00E37052" w:rsidRDefault="003844DC" w:rsidP="0065366E">
            <w:pPr>
              <w:keepNext/>
              <w:keepLines/>
              <w:jc w:val="center"/>
            </w:pPr>
            <w:r>
              <w:t>14.83</w:t>
            </w:r>
          </w:p>
        </w:tc>
        <w:tc>
          <w:tcPr>
            <w:tcW w:w="0" w:type="auto"/>
            <w:shd w:val="clear" w:color="auto" w:fill="E7E6E6" w:themeFill="background2"/>
            <w:vAlign w:val="center"/>
          </w:tcPr>
          <w:p w:rsidR="00E37052" w:rsidRDefault="00E37052" w:rsidP="0065366E">
            <w:pPr>
              <w:keepNext/>
              <w:keepLines/>
              <w:jc w:val="center"/>
            </w:pPr>
          </w:p>
        </w:tc>
        <w:tc>
          <w:tcPr>
            <w:tcW w:w="0" w:type="auto"/>
            <w:vAlign w:val="center"/>
          </w:tcPr>
          <w:p w:rsidR="00E37052" w:rsidRDefault="003844DC" w:rsidP="0065366E">
            <w:pPr>
              <w:keepNext/>
              <w:keepLines/>
              <w:jc w:val="center"/>
            </w:pPr>
            <w:r>
              <w:t>12.17</w:t>
            </w:r>
          </w:p>
        </w:tc>
        <w:tc>
          <w:tcPr>
            <w:tcW w:w="0" w:type="auto"/>
            <w:vAlign w:val="center"/>
          </w:tcPr>
          <w:p w:rsidR="00E37052" w:rsidRDefault="003844DC" w:rsidP="0065366E">
            <w:pPr>
              <w:keepNext/>
              <w:keepLines/>
              <w:jc w:val="center"/>
            </w:pPr>
            <w:r>
              <w:t>10.17</w:t>
            </w:r>
          </w:p>
        </w:tc>
        <w:tc>
          <w:tcPr>
            <w:tcW w:w="0" w:type="auto"/>
            <w:vAlign w:val="center"/>
          </w:tcPr>
          <w:p w:rsidR="00E37052" w:rsidRDefault="003844DC" w:rsidP="0065366E">
            <w:pPr>
              <w:keepNext/>
              <w:keepLines/>
              <w:jc w:val="center"/>
            </w:pPr>
            <w:r>
              <w:t>22.17</w:t>
            </w:r>
          </w:p>
        </w:tc>
        <w:tc>
          <w:tcPr>
            <w:tcW w:w="0" w:type="auto"/>
            <w:vAlign w:val="center"/>
          </w:tcPr>
          <w:p w:rsidR="00E37052" w:rsidRDefault="003844DC" w:rsidP="0065366E">
            <w:pPr>
              <w:keepNext/>
              <w:keepLines/>
              <w:jc w:val="center"/>
            </w:pPr>
            <w:r>
              <w:t>12.67</w:t>
            </w:r>
          </w:p>
        </w:tc>
      </w:tr>
      <w:tr w:rsidR="00E37052" w:rsidTr="0065366E">
        <w:trPr>
          <w:cantSplit/>
          <w:jc w:val="center"/>
        </w:trPr>
        <w:tc>
          <w:tcPr>
            <w:tcW w:w="0" w:type="auto"/>
            <w:vAlign w:val="center"/>
          </w:tcPr>
          <w:p w:rsidR="00E37052" w:rsidRDefault="00E37052" w:rsidP="0065366E">
            <w:pPr>
              <w:keepNext/>
              <w:keepLines/>
              <w:jc w:val="center"/>
            </w:pPr>
            <w:r>
              <w:t>System 3</w:t>
            </w:r>
          </w:p>
        </w:tc>
        <w:tc>
          <w:tcPr>
            <w:tcW w:w="0" w:type="auto"/>
            <w:vAlign w:val="center"/>
          </w:tcPr>
          <w:p w:rsidR="00E37052" w:rsidRDefault="003844DC" w:rsidP="0065366E">
            <w:pPr>
              <w:keepNext/>
              <w:keepLines/>
              <w:jc w:val="center"/>
            </w:pPr>
            <w:r>
              <w:t>24.5</w:t>
            </w:r>
          </w:p>
        </w:tc>
        <w:tc>
          <w:tcPr>
            <w:tcW w:w="0" w:type="auto"/>
            <w:vAlign w:val="center"/>
          </w:tcPr>
          <w:p w:rsidR="00E37052" w:rsidRDefault="003844DC" w:rsidP="0065366E">
            <w:pPr>
              <w:keepNext/>
              <w:keepLines/>
              <w:jc w:val="center"/>
            </w:pPr>
            <w:r>
              <w:t>21.83</w:t>
            </w:r>
          </w:p>
        </w:tc>
        <w:tc>
          <w:tcPr>
            <w:tcW w:w="0" w:type="auto"/>
            <w:shd w:val="clear" w:color="auto" w:fill="E7E6E6" w:themeFill="background2"/>
            <w:vAlign w:val="center"/>
          </w:tcPr>
          <w:p w:rsidR="00E37052" w:rsidRDefault="00E37052" w:rsidP="0065366E">
            <w:pPr>
              <w:keepNext/>
              <w:keepLines/>
              <w:jc w:val="center"/>
            </w:pPr>
          </w:p>
        </w:tc>
        <w:tc>
          <w:tcPr>
            <w:tcW w:w="0" w:type="auto"/>
            <w:vAlign w:val="center"/>
          </w:tcPr>
          <w:p w:rsidR="00E37052" w:rsidRDefault="003844DC" w:rsidP="0065366E">
            <w:pPr>
              <w:keepNext/>
              <w:keepLines/>
              <w:jc w:val="center"/>
            </w:pPr>
            <w:r>
              <w:t>16.67</w:t>
            </w:r>
          </w:p>
        </w:tc>
        <w:tc>
          <w:tcPr>
            <w:tcW w:w="0" w:type="auto"/>
            <w:vAlign w:val="center"/>
          </w:tcPr>
          <w:p w:rsidR="00E37052" w:rsidRDefault="003844DC" w:rsidP="0065366E">
            <w:pPr>
              <w:keepNext/>
              <w:keepLines/>
              <w:jc w:val="center"/>
            </w:pPr>
            <w:r>
              <w:t>24</w:t>
            </w:r>
          </w:p>
        </w:tc>
        <w:tc>
          <w:tcPr>
            <w:tcW w:w="0" w:type="auto"/>
            <w:vAlign w:val="center"/>
          </w:tcPr>
          <w:p w:rsidR="00E37052" w:rsidRDefault="003844DC" w:rsidP="0065366E">
            <w:pPr>
              <w:keepNext/>
              <w:keepLines/>
              <w:jc w:val="center"/>
            </w:pPr>
            <w:r>
              <w:t>16.17</w:t>
            </w:r>
          </w:p>
        </w:tc>
      </w:tr>
      <w:tr w:rsidR="00E37052" w:rsidTr="0065366E">
        <w:trPr>
          <w:cantSplit/>
          <w:jc w:val="center"/>
        </w:trPr>
        <w:tc>
          <w:tcPr>
            <w:tcW w:w="0" w:type="auto"/>
            <w:vAlign w:val="center"/>
          </w:tcPr>
          <w:p w:rsidR="00E37052" w:rsidRDefault="00E37052" w:rsidP="0065366E">
            <w:pPr>
              <w:keepNext/>
              <w:keepLines/>
              <w:jc w:val="center"/>
            </w:pPr>
            <w:r>
              <w:t>System 4</w:t>
            </w:r>
          </w:p>
        </w:tc>
        <w:tc>
          <w:tcPr>
            <w:tcW w:w="0" w:type="auto"/>
            <w:vAlign w:val="center"/>
          </w:tcPr>
          <w:p w:rsidR="00E37052" w:rsidRDefault="003844DC" w:rsidP="0065366E">
            <w:pPr>
              <w:keepNext/>
              <w:keepLines/>
              <w:jc w:val="center"/>
            </w:pPr>
            <w:r>
              <w:t>24.83</w:t>
            </w:r>
          </w:p>
        </w:tc>
        <w:tc>
          <w:tcPr>
            <w:tcW w:w="0" w:type="auto"/>
            <w:vAlign w:val="center"/>
          </w:tcPr>
          <w:p w:rsidR="00E37052" w:rsidRDefault="003844DC" w:rsidP="0065366E">
            <w:pPr>
              <w:keepNext/>
              <w:keepLines/>
              <w:jc w:val="center"/>
            </w:pPr>
            <w:r>
              <w:t>23.83</w:t>
            </w:r>
          </w:p>
        </w:tc>
        <w:tc>
          <w:tcPr>
            <w:tcW w:w="0" w:type="auto"/>
            <w:vAlign w:val="center"/>
          </w:tcPr>
          <w:p w:rsidR="00E37052" w:rsidRDefault="003844DC" w:rsidP="0065366E">
            <w:pPr>
              <w:keepNext/>
              <w:keepLines/>
              <w:jc w:val="center"/>
            </w:pPr>
            <w:r>
              <w:t>17.33</w:t>
            </w:r>
          </w:p>
        </w:tc>
        <w:tc>
          <w:tcPr>
            <w:tcW w:w="0" w:type="auto"/>
            <w:shd w:val="clear" w:color="auto" w:fill="E7E6E6" w:themeFill="background2"/>
            <w:vAlign w:val="center"/>
          </w:tcPr>
          <w:p w:rsidR="00E37052" w:rsidRDefault="00E37052" w:rsidP="0065366E">
            <w:pPr>
              <w:keepNext/>
              <w:keepLines/>
              <w:jc w:val="center"/>
            </w:pPr>
          </w:p>
        </w:tc>
        <w:tc>
          <w:tcPr>
            <w:tcW w:w="0" w:type="auto"/>
            <w:vAlign w:val="center"/>
          </w:tcPr>
          <w:p w:rsidR="00E37052" w:rsidRDefault="003844DC" w:rsidP="0065366E">
            <w:pPr>
              <w:keepNext/>
              <w:keepLines/>
              <w:jc w:val="center"/>
            </w:pPr>
            <w:r>
              <w:t>27.5</w:t>
            </w:r>
          </w:p>
        </w:tc>
        <w:tc>
          <w:tcPr>
            <w:tcW w:w="0" w:type="auto"/>
            <w:vAlign w:val="center"/>
          </w:tcPr>
          <w:p w:rsidR="00E37052" w:rsidRDefault="003844DC" w:rsidP="0065366E">
            <w:pPr>
              <w:keepNext/>
              <w:keepLines/>
              <w:jc w:val="center"/>
            </w:pPr>
            <w:r>
              <w:t>18.5</w:t>
            </w:r>
          </w:p>
        </w:tc>
      </w:tr>
      <w:tr w:rsidR="00E37052" w:rsidTr="0065366E">
        <w:trPr>
          <w:cantSplit/>
          <w:jc w:val="center"/>
        </w:trPr>
        <w:tc>
          <w:tcPr>
            <w:tcW w:w="0" w:type="auto"/>
            <w:vAlign w:val="center"/>
          </w:tcPr>
          <w:p w:rsidR="00E37052" w:rsidRDefault="00E37052" w:rsidP="0065366E">
            <w:pPr>
              <w:keepNext/>
              <w:keepLines/>
              <w:jc w:val="center"/>
            </w:pPr>
            <w:r>
              <w:t>System 5</w:t>
            </w:r>
          </w:p>
        </w:tc>
        <w:tc>
          <w:tcPr>
            <w:tcW w:w="0" w:type="auto"/>
            <w:vAlign w:val="center"/>
          </w:tcPr>
          <w:p w:rsidR="00E37052" w:rsidRDefault="003844DC" w:rsidP="0065366E">
            <w:pPr>
              <w:keepNext/>
              <w:keepLines/>
              <w:jc w:val="center"/>
            </w:pPr>
            <w:r>
              <w:t>10.33</w:t>
            </w:r>
          </w:p>
        </w:tc>
        <w:tc>
          <w:tcPr>
            <w:tcW w:w="0" w:type="auto"/>
            <w:vAlign w:val="center"/>
          </w:tcPr>
          <w:p w:rsidR="00E37052" w:rsidRDefault="003844DC" w:rsidP="0065366E">
            <w:pPr>
              <w:keepNext/>
              <w:keepLines/>
              <w:jc w:val="center"/>
            </w:pPr>
            <w:r>
              <w:t>11.83</w:t>
            </w:r>
          </w:p>
        </w:tc>
        <w:tc>
          <w:tcPr>
            <w:tcW w:w="0" w:type="auto"/>
            <w:vAlign w:val="center"/>
          </w:tcPr>
          <w:p w:rsidR="00E37052" w:rsidRDefault="003844DC" w:rsidP="0065366E">
            <w:pPr>
              <w:keepNext/>
              <w:keepLines/>
              <w:jc w:val="center"/>
            </w:pPr>
            <w:r>
              <w:t>10</w:t>
            </w:r>
          </w:p>
        </w:tc>
        <w:tc>
          <w:tcPr>
            <w:tcW w:w="0" w:type="auto"/>
            <w:vAlign w:val="center"/>
          </w:tcPr>
          <w:p w:rsidR="00E37052" w:rsidRDefault="003844DC" w:rsidP="0065366E">
            <w:pPr>
              <w:keepNext/>
              <w:keepLines/>
              <w:jc w:val="center"/>
            </w:pPr>
            <w:r>
              <w:t>6.5</w:t>
            </w:r>
          </w:p>
        </w:tc>
        <w:tc>
          <w:tcPr>
            <w:tcW w:w="0" w:type="auto"/>
            <w:shd w:val="clear" w:color="auto" w:fill="E7E6E6" w:themeFill="background2"/>
            <w:vAlign w:val="center"/>
          </w:tcPr>
          <w:p w:rsidR="00E37052" w:rsidRDefault="00E37052" w:rsidP="0065366E">
            <w:pPr>
              <w:keepNext/>
              <w:keepLines/>
            </w:pPr>
          </w:p>
        </w:tc>
        <w:tc>
          <w:tcPr>
            <w:tcW w:w="0" w:type="auto"/>
            <w:vAlign w:val="center"/>
          </w:tcPr>
          <w:p w:rsidR="00E37052" w:rsidRDefault="003844DC" w:rsidP="0065366E">
            <w:pPr>
              <w:keepNext/>
              <w:keepLines/>
              <w:jc w:val="center"/>
            </w:pPr>
            <w:r>
              <w:t>7</w:t>
            </w:r>
          </w:p>
        </w:tc>
      </w:tr>
      <w:tr w:rsidR="00E37052" w:rsidTr="0065366E">
        <w:trPr>
          <w:cantSplit/>
          <w:jc w:val="center"/>
        </w:trPr>
        <w:tc>
          <w:tcPr>
            <w:tcW w:w="0" w:type="auto"/>
            <w:vAlign w:val="center"/>
          </w:tcPr>
          <w:p w:rsidR="00E37052" w:rsidRDefault="00E37052" w:rsidP="00E37052">
            <w:pPr>
              <w:jc w:val="center"/>
            </w:pPr>
            <w:r>
              <w:t>System 6</w:t>
            </w:r>
          </w:p>
        </w:tc>
        <w:tc>
          <w:tcPr>
            <w:tcW w:w="0" w:type="auto"/>
            <w:vAlign w:val="center"/>
          </w:tcPr>
          <w:p w:rsidR="00E37052" w:rsidRDefault="003844DC" w:rsidP="00E37052">
            <w:pPr>
              <w:jc w:val="center"/>
            </w:pPr>
            <w:r>
              <w:t>22.67</w:t>
            </w:r>
          </w:p>
        </w:tc>
        <w:tc>
          <w:tcPr>
            <w:tcW w:w="0" w:type="auto"/>
            <w:vAlign w:val="center"/>
          </w:tcPr>
          <w:p w:rsidR="00E37052" w:rsidRDefault="003844DC" w:rsidP="00E37052">
            <w:pPr>
              <w:jc w:val="center"/>
            </w:pPr>
            <w:r>
              <w:t>21.33</w:t>
            </w:r>
          </w:p>
        </w:tc>
        <w:tc>
          <w:tcPr>
            <w:tcW w:w="0" w:type="auto"/>
            <w:vAlign w:val="center"/>
          </w:tcPr>
          <w:p w:rsidR="00E37052" w:rsidRDefault="003844DC" w:rsidP="00E37052">
            <w:pPr>
              <w:jc w:val="center"/>
            </w:pPr>
            <w:r>
              <w:t>17.83</w:t>
            </w:r>
          </w:p>
        </w:tc>
        <w:tc>
          <w:tcPr>
            <w:tcW w:w="0" w:type="auto"/>
            <w:vAlign w:val="center"/>
          </w:tcPr>
          <w:p w:rsidR="00E37052" w:rsidRDefault="003844DC" w:rsidP="00E37052">
            <w:pPr>
              <w:jc w:val="center"/>
            </w:pPr>
            <w:r>
              <w:t>15.5</w:t>
            </w:r>
          </w:p>
        </w:tc>
        <w:tc>
          <w:tcPr>
            <w:tcW w:w="0" w:type="auto"/>
            <w:vAlign w:val="center"/>
          </w:tcPr>
          <w:p w:rsidR="00E37052" w:rsidRDefault="003844DC" w:rsidP="00E37052">
            <w:pPr>
              <w:jc w:val="center"/>
            </w:pPr>
            <w:r>
              <w:t>27</w:t>
            </w:r>
          </w:p>
        </w:tc>
        <w:tc>
          <w:tcPr>
            <w:tcW w:w="0" w:type="auto"/>
            <w:shd w:val="clear" w:color="auto" w:fill="E7E6E6" w:themeFill="background2"/>
            <w:vAlign w:val="center"/>
          </w:tcPr>
          <w:p w:rsidR="00E37052" w:rsidRDefault="00E37052" w:rsidP="00E37052">
            <w:pPr>
              <w:jc w:val="center"/>
            </w:pPr>
          </w:p>
        </w:tc>
      </w:tr>
    </w:tbl>
    <w:p w:rsidR="0065366E" w:rsidRDefault="0065366E" w:rsidP="007E522B"/>
    <w:p w:rsidR="00030305" w:rsidRDefault="003844DC" w:rsidP="007E522B">
      <w:r>
        <w:t>The values in the table quantify preferences between the individual systems</w:t>
      </w:r>
      <w:r w:rsidR="00A25A8C">
        <w:t>: e.g., system 4 was clearly preferred to system 5 (27.5 vs. 6.5).</w:t>
      </w:r>
    </w:p>
    <w:p w:rsidR="00D80EA0" w:rsidRDefault="003844DC" w:rsidP="00D80EA0">
      <w:r>
        <w:t>Using</w:t>
      </w:r>
      <w:r w:rsidR="00596AEC">
        <w:t xml:space="preserve"> the maximum likelihood estimate from </w:t>
      </w:r>
      <w:sdt>
        <w:sdtPr>
          <w:id w:val="936869934"/>
          <w:citation/>
        </w:sdtPr>
        <w:sdtEndPr/>
        <w:sdtContent>
          <w:r w:rsidR="00596AEC">
            <w:fldChar w:fldCharType="begin"/>
          </w:r>
          <w:r w:rsidR="00596AEC" w:rsidRPr="00596AEC">
            <w:rPr>
              <w:lang w:val="en-US"/>
            </w:rPr>
            <w:instrText xml:space="preserve"> CITATION Tsu11 \l 1031 </w:instrText>
          </w:r>
          <w:r w:rsidR="00596AEC">
            <w:fldChar w:fldCharType="separate"/>
          </w:r>
          <w:r w:rsidR="00596AEC" w:rsidRPr="00596AEC">
            <w:rPr>
              <w:noProof/>
              <w:lang w:val="en-US"/>
            </w:rPr>
            <w:t>[3]</w:t>
          </w:r>
          <w:r w:rsidR="00596AEC">
            <w:fldChar w:fldCharType="end"/>
          </w:r>
        </w:sdtContent>
      </w:sdt>
      <w:r w:rsidR="00596AEC">
        <w:t xml:space="preserve"> </w:t>
      </w:r>
      <w:r w:rsidR="00D80EA0">
        <w:t xml:space="preserve">results in </w:t>
      </w:r>
      <w:r w:rsidR="00596AEC">
        <w:t>values on an absolute scale</w:t>
      </w:r>
      <w:r w:rsidR="00A25A8C">
        <w:t xml:space="preserve"> </w:t>
      </w:r>
      <w:r w:rsidR="00D80EA0">
        <w:t xml:space="preserve">as shown in </w:t>
      </w:r>
      <w:r w:rsidR="00D80EA0">
        <w:fldChar w:fldCharType="begin"/>
      </w:r>
      <w:r w:rsidR="00D80EA0">
        <w:instrText xml:space="preserve"> REF _Ref505090798 \h </w:instrText>
      </w:r>
      <w:r w:rsidR="00D80EA0">
        <w:fldChar w:fldCharType="separate"/>
      </w:r>
      <w:r w:rsidR="00D80EA0">
        <w:t xml:space="preserve">Table </w:t>
      </w:r>
      <w:r w:rsidR="00D80EA0">
        <w:rPr>
          <w:noProof/>
        </w:rPr>
        <w:t>2</w:t>
      </w:r>
      <w:r w:rsidR="00D80EA0">
        <w:fldChar w:fldCharType="end"/>
      </w:r>
      <w:r w:rsidR="00D80EA0">
        <w:t xml:space="preserve"> </w:t>
      </w:r>
      <w:r w:rsidR="00A25A8C">
        <w:t>(direct output from the estimation algorithm</w:t>
      </w:r>
      <w:r w:rsidR="00D80EA0">
        <w:t xml:space="preserve">). Note that it is in general not possible to define an absolute minimum/maximum quality index on this absolute scale. The intention of this procedure is to provide a ranking between the different systems. The distances between the systems </w:t>
      </w:r>
      <w:r w:rsidR="00386CA2">
        <w:t xml:space="preserve">also </w:t>
      </w:r>
      <w:r w:rsidR="00D80EA0">
        <w:t>describe the quality difference observed between the systems in a subjective test.</w:t>
      </w:r>
    </w:p>
    <w:p w:rsidR="00E37052" w:rsidRDefault="00D80EA0" w:rsidP="007E522B">
      <w:r>
        <w:t xml:space="preserve">In addition, </w:t>
      </w:r>
      <w:r w:rsidR="00A25A8C">
        <w:t xml:space="preserve">rescaled values on </w:t>
      </w:r>
      <w:r w:rsidR="00C574D2">
        <w:t xml:space="preserve">an MOS scale arbitrarily </w:t>
      </w:r>
      <w:r w:rsidR="004D7B4D">
        <w:t>assigning</w:t>
      </w:r>
      <w:r w:rsidR="00C574D2">
        <w:t xml:space="preserve"> a value of 5.0 to the best and 1.0 to the worst system</w:t>
      </w:r>
      <w:r>
        <w:t>. Other mappings can be considered as well.</w:t>
      </w:r>
    </w:p>
    <w:p w:rsidR="00596AEC" w:rsidRDefault="00596AEC" w:rsidP="00596AEC">
      <w:pPr>
        <w:pStyle w:val="Beschriftung"/>
        <w:keepNext/>
      </w:pPr>
      <w:bookmarkStart w:id="4" w:name="_Ref505090798"/>
      <w:r>
        <w:t xml:space="preserve">Table </w:t>
      </w:r>
      <w:r>
        <w:fldChar w:fldCharType="begin"/>
      </w:r>
      <w:r>
        <w:instrText xml:space="preserve"> SEQ Table \* ARABIC </w:instrText>
      </w:r>
      <w:r>
        <w:fldChar w:fldCharType="separate"/>
      </w:r>
      <w:r>
        <w:rPr>
          <w:noProof/>
        </w:rPr>
        <w:t>2</w:t>
      </w:r>
      <w:r>
        <w:fldChar w:fldCharType="end"/>
      </w:r>
      <w:bookmarkEnd w:id="4"/>
      <w:r>
        <w:t>: Example maximum likelihood estimate</w:t>
      </w:r>
    </w:p>
    <w:tbl>
      <w:tblPr>
        <w:tblStyle w:val="Tabellenraster"/>
        <w:tblW w:w="0" w:type="auto"/>
        <w:jc w:val="center"/>
        <w:tblLook w:val="04A0" w:firstRow="1" w:lastRow="0" w:firstColumn="1" w:lastColumn="0" w:noHBand="0" w:noVBand="1"/>
      </w:tblPr>
      <w:tblGrid>
        <w:gridCol w:w="1464"/>
        <w:gridCol w:w="1133"/>
        <w:gridCol w:w="1133"/>
        <w:gridCol w:w="1133"/>
        <w:gridCol w:w="1133"/>
        <w:gridCol w:w="1133"/>
        <w:gridCol w:w="1133"/>
      </w:tblGrid>
      <w:tr w:rsidR="00596AEC" w:rsidTr="00C574D2">
        <w:trPr>
          <w:gridBefore w:val="1"/>
          <w:cantSplit/>
          <w:jc w:val="center"/>
        </w:trPr>
        <w:tc>
          <w:tcPr>
            <w:tcW w:w="0" w:type="auto"/>
            <w:vAlign w:val="center"/>
          </w:tcPr>
          <w:p w:rsidR="00596AEC" w:rsidRDefault="00596AEC" w:rsidP="00C574D2">
            <w:pPr>
              <w:keepNext/>
              <w:keepLines/>
              <w:jc w:val="center"/>
            </w:pPr>
            <w:r>
              <w:t>System 1</w:t>
            </w:r>
          </w:p>
        </w:tc>
        <w:tc>
          <w:tcPr>
            <w:tcW w:w="0" w:type="auto"/>
            <w:vAlign w:val="center"/>
          </w:tcPr>
          <w:p w:rsidR="00596AEC" w:rsidRDefault="00596AEC" w:rsidP="00C574D2">
            <w:pPr>
              <w:keepNext/>
              <w:keepLines/>
              <w:jc w:val="center"/>
            </w:pPr>
            <w:r>
              <w:t>System 2</w:t>
            </w:r>
          </w:p>
        </w:tc>
        <w:tc>
          <w:tcPr>
            <w:tcW w:w="0" w:type="auto"/>
            <w:vAlign w:val="center"/>
          </w:tcPr>
          <w:p w:rsidR="00596AEC" w:rsidRDefault="00596AEC" w:rsidP="00C574D2">
            <w:pPr>
              <w:keepNext/>
              <w:keepLines/>
              <w:jc w:val="center"/>
            </w:pPr>
            <w:r>
              <w:t>System 3</w:t>
            </w:r>
          </w:p>
        </w:tc>
        <w:tc>
          <w:tcPr>
            <w:tcW w:w="0" w:type="auto"/>
            <w:vAlign w:val="center"/>
          </w:tcPr>
          <w:p w:rsidR="00596AEC" w:rsidRDefault="00596AEC" w:rsidP="00C574D2">
            <w:pPr>
              <w:keepNext/>
              <w:keepLines/>
              <w:jc w:val="center"/>
            </w:pPr>
            <w:r>
              <w:t>System 4</w:t>
            </w:r>
          </w:p>
        </w:tc>
        <w:tc>
          <w:tcPr>
            <w:tcW w:w="0" w:type="auto"/>
            <w:vAlign w:val="center"/>
          </w:tcPr>
          <w:p w:rsidR="00596AEC" w:rsidRDefault="00596AEC" w:rsidP="00C574D2">
            <w:pPr>
              <w:keepNext/>
              <w:keepLines/>
              <w:jc w:val="center"/>
            </w:pPr>
            <w:r>
              <w:t>System 5</w:t>
            </w:r>
          </w:p>
        </w:tc>
        <w:tc>
          <w:tcPr>
            <w:tcW w:w="0" w:type="auto"/>
            <w:vAlign w:val="center"/>
          </w:tcPr>
          <w:p w:rsidR="00596AEC" w:rsidRDefault="00596AEC" w:rsidP="00C574D2">
            <w:pPr>
              <w:keepNext/>
              <w:keepLines/>
              <w:jc w:val="center"/>
            </w:pPr>
            <w:r>
              <w:t>System 6</w:t>
            </w:r>
          </w:p>
        </w:tc>
      </w:tr>
      <w:tr w:rsidR="00C574D2" w:rsidTr="00C574D2">
        <w:trPr>
          <w:cantSplit/>
          <w:jc w:val="center"/>
        </w:trPr>
        <w:tc>
          <w:tcPr>
            <w:tcW w:w="0" w:type="auto"/>
            <w:shd w:val="clear" w:color="auto" w:fill="auto"/>
            <w:vAlign w:val="center"/>
          </w:tcPr>
          <w:p w:rsidR="00C574D2" w:rsidRDefault="00C574D2" w:rsidP="00C574D2">
            <w:pPr>
              <w:keepNext/>
              <w:keepLines/>
              <w:jc w:val="center"/>
            </w:pPr>
            <w:r>
              <w:t>Direct output</w:t>
            </w:r>
          </w:p>
        </w:tc>
        <w:tc>
          <w:tcPr>
            <w:tcW w:w="0" w:type="auto"/>
            <w:shd w:val="clear" w:color="auto" w:fill="FFFFFF" w:themeFill="background1"/>
            <w:vAlign w:val="center"/>
          </w:tcPr>
          <w:p w:rsidR="00596AEC" w:rsidRDefault="00596AEC" w:rsidP="00C574D2">
            <w:pPr>
              <w:keepNext/>
              <w:keepLines/>
              <w:jc w:val="center"/>
            </w:pPr>
            <w:r>
              <w:t>-0.16</w:t>
            </w:r>
          </w:p>
        </w:tc>
        <w:tc>
          <w:tcPr>
            <w:tcW w:w="0" w:type="auto"/>
            <w:vAlign w:val="center"/>
          </w:tcPr>
          <w:p w:rsidR="00596AEC" w:rsidRDefault="00596AEC" w:rsidP="00C574D2">
            <w:pPr>
              <w:keepNext/>
              <w:keepLines/>
              <w:jc w:val="center"/>
            </w:pPr>
            <w:r>
              <w:t>-0.17</w:t>
            </w:r>
          </w:p>
        </w:tc>
        <w:tc>
          <w:tcPr>
            <w:tcW w:w="0" w:type="auto"/>
            <w:vAlign w:val="center"/>
          </w:tcPr>
          <w:p w:rsidR="00596AEC" w:rsidRDefault="00596AEC" w:rsidP="00C574D2">
            <w:pPr>
              <w:keepNext/>
              <w:keepLines/>
              <w:jc w:val="center"/>
            </w:pPr>
            <w:r>
              <w:t>0.24</w:t>
            </w:r>
          </w:p>
        </w:tc>
        <w:tc>
          <w:tcPr>
            <w:tcW w:w="0" w:type="auto"/>
            <w:vAlign w:val="center"/>
          </w:tcPr>
          <w:p w:rsidR="00596AEC" w:rsidRDefault="00596AEC" w:rsidP="00C574D2">
            <w:pPr>
              <w:keepNext/>
              <w:keepLines/>
              <w:jc w:val="center"/>
            </w:pPr>
            <w:r>
              <w:t>0.36</w:t>
            </w:r>
          </w:p>
        </w:tc>
        <w:tc>
          <w:tcPr>
            <w:tcW w:w="0" w:type="auto"/>
            <w:vAlign w:val="center"/>
          </w:tcPr>
          <w:p w:rsidR="00596AEC" w:rsidRDefault="00596AEC" w:rsidP="00C574D2">
            <w:pPr>
              <w:keepNext/>
              <w:keepLines/>
              <w:jc w:val="center"/>
            </w:pPr>
            <w:r>
              <w:t>-0.52</w:t>
            </w:r>
          </w:p>
        </w:tc>
        <w:tc>
          <w:tcPr>
            <w:tcW w:w="0" w:type="auto"/>
            <w:vAlign w:val="center"/>
          </w:tcPr>
          <w:p w:rsidR="00596AEC" w:rsidRDefault="00596AEC" w:rsidP="00C574D2">
            <w:pPr>
              <w:keepNext/>
              <w:keepLines/>
              <w:jc w:val="center"/>
            </w:pPr>
            <w:r>
              <w:t>0.25</w:t>
            </w:r>
          </w:p>
        </w:tc>
      </w:tr>
      <w:tr w:rsidR="00C574D2" w:rsidTr="00C574D2">
        <w:trPr>
          <w:cantSplit/>
          <w:jc w:val="center"/>
        </w:trPr>
        <w:tc>
          <w:tcPr>
            <w:tcW w:w="0" w:type="auto"/>
            <w:shd w:val="clear" w:color="auto" w:fill="auto"/>
            <w:vAlign w:val="center"/>
          </w:tcPr>
          <w:p w:rsidR="00C574D2" w:rsidRDefault="00C574D2" w:rsidP="00C574D2">
            <w:pPr>
              <w:keepNext/>
              <w:keepLines/>
              <w:jc w:val="center"/>
            </w:pPr>
            <w:r>
              <w:t>MOS</w:t>
            </w:r>
          </w:p>
        </w:tc>
        <w:tc>
          <w:tcPr>
            <w:tcW w:w="0" w:type="auto"/>
            <w:shd w:val="clear" w:color="auto" w:fill="FFFFFF" w:themeFill="background1"/>
            <w:vAlign w:val="center"/>
          </w:tcPr>
          <w:p w:rsidR="00C574D2" w:rsidRDefault="00C574D2" w:rsidP="00C574D2">
            <w:pPr>
              <w:keepNext/>
              <w:keepLines/>
              <w:jc w:val="center"/>
            </w:pPr>
            <w:r>
              <w:t>2.67</w:t>
            </w:r>
          </w:p>
        </w:tc>
        <w:tc>
          <w:tcPr>
            <w:tcW w:w="0" w:type="auto"/>
            <w:vAlign w:val="center"/>
          </w:tcPr>
          <w:p w:rsidR="00C574D2" w:rsidRDefault="00C574D2" w:rsidP="00C574D2">
            <w:pPr>
              <w:keepNext/>
              <w:keepLines/>
              <w:jc w:val="center"/>
            </w:pPr>
            <w:r>
              <w:t>2.63</w:t>
            </w:r>
          </w:p>
        </w:tc>
        <w:tc>
          <w:tcPr>
            <w:tcW w:w="0" w:type="auto"/>
            <w:vAlign w:val="center"/>
          </w:tcPr>
          <w:p w:rsidR="00C574D2" w:rsidRDefault="00C574D2" w:rsidP="00C574D2">
            <w:pPr>
              <w:keepNext/>
              <w:keepLines/>
              <w:jc w:val="center"/>
            </w:pPr>
            <w:r>
              <w:t>4.45</w:t>
            </w:r>
          </w:p>
        </w:tc>
        <w:tc>
          <w:tcPr>
            <w:tcW w:w="0" w:type="auto"/>
            <w:vAlign w:val="center"/>
          </w:tcPr>
          <w:p w:rsidR="00C574D2" w:rsidRDefault="00C574D2" w:rsidP="00C574D2">
            <w:pPr>
              <w:keepNext/>
              <w:keepLines/>
              <w:jc w:val="center"/>
            </w:pPr>
            <w:r>
              <w:t>5.00</w:t>
            </w:r>
          </w:p>
        </w:tc>
        <w:tc>
          <w:tcPr>
            <w:tcW w:w="0" w:type="auto"/>
            <w:vAlign w:val="center"/>
          </w:tcPr>
          <w:p w:rsidR="00C574D2" w:rsidRDefault="00C574D2" w:rsidP="00C574D2">
            <w:pPr>
              <w:keepNext/>
              <w:keepLines/>
              <w:jc w:val="center"/>
            </w:pPr>
            <w:r>
              <w:t>1.00</w:t>
            </w:r>
          </w:p>
        </w:tc>
        <w:tc>
          <w:tcPr>
            <w:tcW w:w="0" w:type="auto"/>
            <w:vAlign w:val="center"/>
          </w:tcPr>
          <w:p w:rsidR="00C574D2" w:rsidRDefault="00C574D2" w:rsidP="00C574D2">
            <w:pPr>
              <w:keepNext/>
              <w:keepLines/>
              <w:jc w:val="center"/>
            </w:pPr>
            <w:r>
              <w:t>4.53</w:t>
            </w:r>
          </w:p>
        </w:tc>
      </w:tr>
    </w:tbl>
    <w:p w:rsidR="00596AEC" w:rsidRDefault="00596AEC" w:rsidP="007E522B"/>
    <w:p w:rsidR="00A25A8C" w:rsidRDefault="00A25A8C" w:rsidP="00A25A8C">
      <w:r>
        <w:t xml:space="preserve">The resulting ranking on an absolute scale is based on all comparisons. </w:t>
      </w:r>
      <w:r w:rsidR="00C574D2">
        <w:t>This can be seen quite clearly when looking at the results for systems 1 and 2. System 1 is clearly favoured in the direct comparison (19.17 vs. 14.83) but system 2 does not lose as clearly as system 1 against the three better systems. In the final ranking, the two systems are very close to each other.</w:t>
      </w:r>
      <w:r>
        <w:t xml:space="preserve"> </w:t>
      </w:r>
    </w:p>
    <w:p w:rsidR="00E47644" w:rsidRDefault="00E47644" w:rsidP="00E47644">
      <w:pPr>
        <w:pStyle w:val="berschrift1"/>
        <w:numPr>
          <w:ilvl w:val="1"/>
          <w:numId w:val="7"/>
        </w:numPr>
        <w:jc w:val="both"/>
        <w:rPr>
          <w:rFonts w:eastAsia="Times New Roman"/>
          <w:b/>
        </w:rPr>
      </w:pPr>
      <w:r>
        <w:rPr>
          <w:rFonts w:eastAsia="Times New Roman"/>
          <w:b/>
        </w:rPr>
        <w:t>Predictability of overall quality</w:t>
      </w:r>
    </w:p>
    <w:p w:rsidR="000F1D71" w:rsidRDefault="000F1D71" w:rsidP="00E47644">
      <w:r>
        <w:t xml:space="preserve">Another previous contribution </w:t>
      </w:r>
      <w:sdt>
        <w:sdtPr>
          <w:id w:val="-1907290321"/>
          <w:citation/>
        </w:sdtPr>
        <w:sdtEndPr/>
        <w:sdtContent>
          <w:r>
            <w:fldChar w:fldCharType="begin"/>
          </w:r>
          <w:r w:rsidRPr="000F1D71">
            <w:rPr>
              <w:lang w:val="en-US"/>
            </w:rPr>
            <w:instrText xml:space="preserve"> CITATION 3GP4 \l 1031 </w:instrText>
          </w:r>
          <w:r>
            <w:fldChar w:fldCharType="separate"/>
          </w:r>
          <w:r w:rsidRPr="000F1D71">
            <w:rPr>
              <w:noProof/>
              <w:lang w:val="en-US"/>
            </w:rPr>
            <w:t>[4]</w:t>
          </w:r>
          <w:r>
            <w:fldChar w:fldCharType="end"/>
          </w:r>
        </w:sdtContent>
      </w:sdt>
      <w:r>
        <w:t xml:space="preserve"> presented a linear regression analysis for the relation between individual quality dimensions and overall quality based on a MUSHRA test. That contribution used the three quality dimensions timbre, artefacts and space. The analysis led to this relation between the dimensions:</w:t>
      </w:r>
    </w:p>
    <w:p w:rsidR="000F1D71" w:rsidRDefault="000F1D71" w:rsidP="00E47644">
      <w:r>
        <w:t>Overall quality = 0.5*timbre + 0.67*artefacts + 0.29*space – 0.45</w:t>
      </w:r>
    </w:p>
    <w:p w:rsidR="000F1D71" w:rsidRDefault="000F1D71" w:rsidP="00E47644">
      <w:r>
        <w:t xml:space="preserve">The CCR test </w:t>
      </w:r>
      <w:r w:rsidR="00452C19">
        <w:t xml:space="preserve">here </w:t>
      </w:r>
      <w:r>
        <w:t xml:space="preserve">uses the dimensions timbre, distortion and immersion </w:t>
      </w:r>
      <w:r w:rsidR="00452C19">
        <w:t>which</w:t>
      </w:r>
      <w:r>
        <w:t xml:space="preserve"> </w:t>
      </w:r>
      <w:r w:rsidR="00423650">
        <w:t xml:space="preserve">are very similar to the dimensions in </w:t>
      </w:r>
      <w:sdt>
        <w:sdtPr>
          <w:id w:val="-1853947191"/>
          <w:citation/>
        </w:sdtPr>
        <w:sdtEndPr/>
        <w:sdtContent>
          <w:r w:rsidR="00423650">
            <w:fldChar w:fldCharType="begin"/>
          </w:r>
          <w:r w:rsidR="00423650" w:rsidRPr="00423650">
            <w:rPr>
              <w:lang w:val="en-US"/>
            </w:rPr>
            <w:instrText xml:space="preserve"> CITATION 3GP4 \l 1031 </w:instrText>
          </w:r>
          <w:r w:rsidR="00423650">
            <w:fldChar w:fldCharType="separate"/>
          </w:r>
          <w:r w:rsidR="00423650" w:rsidRPr="00423650">
            <w:rPr>
              <w:noProof/>
              <w:lang w:val="en-US"/>
            </w:rPr>
            <w:t>[4]</w:t>
          </w:r>
          <w:r w:rsidR="00423650">
            <w:fldChar w:fldCharType="end"/>
          </w:r>
        </w:sdtContent>
      </w:sdt>
      <w:r w:rsidR="00423650">
        <w:t xml:space="preserve">. A linear regression between the individual dimensions and the overall quality leads to the result that is depicted in </w:t>
      </w:r>
      <w:r w:rsidR="00423650">
        <w:fldChar w:fldCharType="begin"/>
      </w:r>
      <w:r w:rsidR="00423650">
        <w:instrText xml:space="preserve"> REF _Ref505004645 \h </w:instrText>
      </w:r>
      <w:r w:rsidR="00423650">
        <w:fldChar w:fldCharType="separate"/>
      </w:r>
      <w:r w:rsidR="00423650" w:rsidRPr="00597138">
        <w:rPr>
          <w:rFonts w:eastAsia="Times New Roman"/>
          <w:bCs/>
          <w:lang w:val="en-US"/>
        </w:rPr>
        <w:t xml:space="preserve">Figure </w:t>
      </w:r>
      <w:r w:rsidR="00423650">
        <w:rPr>
          <w:rFonts w:eastAsia="Times New Roman"/>
          <w:bCs/>
          <w:noProof/>
          <w:lang w:val="en-US"/>
        </w:rPr>
        <w:t>3</w:t>
      </w:r>
      <w:r w:rsidR="00423650">
        <w:fldChar w:fldCharType="end"/>
      </w:r>
      <w:r w:rsidR="00423650">
        <w:t>. The correlation between the auditory result and the regression result is very high and no outliers can be observed.</w:t>
      </w:r>
    </w:p>
    <w:p w:rsidR="00283062" w:rsidRDefault="00283062" w:rsidP="00E47644">
      <w:r w:rsidRPr="00283062">
        <w:rPr>
          <w:noProof/>
          <w:lang w:val="en-US"/>
        </w:rPr>
        <w:lastRenderedPageBreak/>
        <w:drawing>
          <wp:inline distT="0" distB="0" distL="0" distR="0">
            <wp:extent cx="3420000" cy="3420000"/>
            <wp:effectExtent l="0" t="0" r="9525" b="9525"/>
            <wp:docPr id="6" name="Grafik 6" descr="C:\SVN\dokumente_telecom\Standardisierungsbeiträge\3GPP\2018\S4-18XXXX_LiQuImAS-Auditory Assessment of Audio Systems\Figures\linear_regress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SVN\dokumente_telecom\Standardisierungsbeiträge\3GPP\2018\S4-18XXXX_LiQuImAS-Auditory Assessment of Audio Systems\Figures\linear_regression.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20000" cy="3420000"/>
                    </a:xfrm>
                    <a:prstGeom prst="rect">
                      <a:avLst/>
                    </a:prstGeom>
                    <a:noFill/>
                    <a:ln>
                      <a:noFill/>
                    </a:ln>
                  </pic:spPr>
                </pic:pic>
              </a:graphicData>
            </a:graphic>
          </wp:inline>
        </w:drawing>
      </w:r>
    </w:p>
    <w:tbl>
      <w:tblPr>
        <w:tblStyle w:val="Tabellenraster"/>
        <w:tblpPr w:leftFromText="141" w:rightFromText="141" w:vertAnchor="text" w:horzAnchor="margin" w:tblpY="17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2"/>
      </w:tblGrid>
      <w:tr w:rsidR="00283062" w:rsidRPr="00DF0C71" w:rsidTr="00357C06">
        <w:tc>
          <w:tcPr>
            <w:tcW w:w="9342" w:type="dxa"/>
          </w:tcPr>
          <w:p w:rsidR="00283062" w:rsidRPr="00DF0C71" w:rsidRDefault="00283062" w:rsidP="00283062">
            <w:pPr>
              <w:pStyle w:val="Beschriftung"/>
              <w:keepNext/>
              <w:rPr>
                <w:rFonts w:eastAsia="Times New Roman"/>
                <w:bCs/>
                <w:sz w:val="22"/>
                <w:lang w:val="en-US"/>
              </w:rPr>
            </w:pPr>
            <w:bookmarkStart w:id="5" w:name="_Ref505004645"/>
            <w:r w:rsidRPr="00597138">
              <w:rPr>
                <w:rFonts w:eastAsia="Times New Roman"/>
                <w:bCs/>
                <w:sz w:val="22"/>
                <w:lang w:val="en-US"/>
              </w:rPr>
              <w:t xml:space="preserve">Figure </w:t>
            </w:r>
            <w:r w:rsidRPr="00597138">
              <w:rPr>
                <w:bCs/>
                <w:sz w:val="22"/>
                <w:lang w:val="en-US"/>
              </w:rPr>
              <w:fldChar w:fldCharType="begin"/>
            </w:r>
            <w:r w:rsidRPr="00597138">
              <w:rPr>
                <w:rFonts w:eastAsia="Times New Roman"/>
                <w:bCs/>
                <w:sz w:val="22"/>
                <w:lang w:val="en-US"/>
              </w:rPr>
              <w:instrText xml:space="preserve"> SEQ Figure \* ARABIC </w:instrText>
            </w:r>
            <w:r w:rsidRPr="00597138">
              <w:rPr>
                <w:bCs/>
                <w:sz w:val="22"/>
                <w:lang w:val="en-US"/>
              </w:rPr>
              <w:fldChar w:fldCharType="separate"/>
            </w:r>
            <w:r w:rsidR="00423650">
              <w:rPr>
                <w:rFonts w:eastAsia="Times New Roman"/>
                <w:bCs/>
                <w:noProof/>
                <w:sz w:val="22"/>
                <w:lang w:val="en-US"/>
              </w:rPr>
              <w:t>3</w:t>
            </w:r>
            <w:r w:rsidRPr="00597138">
              <w:rPr>
                <w:bCs/>
                <w:sz w:val="22"/>
                <w:lang w:val="en-US"/>
              </w:rPr>
              <w:fldChar w:fldCharType="end"/>
            </w:r>
            <w:bookmarkEnd w:id="5"/>
            <w:r w:rsidRPr="00597138">
              <w:rPr>
                <w:rFonts w:eastAsia="Times New Roman"/>
                <w:bCs/>
                <w:sz w:val="22"/>
                <w:lang w:val="en-US"/>
              </w:rPr>
              <w:t xml:space="preserve">: </w:t>
            </w:r>
            <w:r>
              <w:rPr>
                <w:rFonts w:eastAsia="Times New Roman"/>
                <w:bCs/>
                <w:sz w:val="22"/>
                <w:lang w:val="en-US"/>
              </w:rPr>
              <w:t>Linear regression between individual dimension and overall quality</w:t>
            </w:r>
          </w:p>
        </w:tc>
      </w:tr>
    </w:tbl>
    <w:p w:rsidR="00283062" w:rsidRDefault="00423650" w:rsidP="00E47644">
      <w:pPr>
        <w:rPr>
          <w:lang w:val="en-US"/>
        </w:rPr>
      </w:pPr>
      <w:r>
        <w:rPr>
          <w:lang w:val="en-US"/>
        </w:rPr>
        <w:t>In this test, the relation between the dimensions was:</w:t>
      </w:r>
    </w:p>
    <w:p w:rsidR="00423650" w:rsidRDefault="00423650" w:rsidP="00E47644">
      <w:pPr>
        <w:rPr>
          <w:lang w:val="en-US"/>
        </w:rPr>
      </w:pPr>
      <w:r>
        <w:rPr>
          <w:lang w:val="en-US"/>
        </w:rPr>
        <w:t>Overall quality = 0.6*timbre + 0.25*distortion + 0.31*immersion + 0.03</w:t>
      </w:r>
    </w:p>
    <w:p w:rsidR="00E65E1D" w:rsidRPr="00283062" w:rsidRDefault="00E65E1D" w:rsidP="00E47644">
      <w:pPr>
        <w:rPr>
          <w:lang w:val="en-US"/>
        </w:rPr>
      </w:pPr>
      <w:r>
        <w:rPr>
          <w:lang w:val="en-US"/>
        </w:rPr>
        <w:t xml:space="preserve">While the impact of timbre and space/immersion is quite similar between the two tests, there is a clear discrepancy in the weight of artefacts/distortion. The reason for this might be the very different audio material used in the two tests. </w:t>
      </w:r>
      <w:r w:rsidR="00246966">
        <w:rPr>
          <w:lang w:val="en-US"/>
        </w:rPr>
        <w:t>T</w:t>
      </w:r>
      <w:r>
        <w:rPr>
          <w:lang w:val="en-US"/>
        </w:rPr>
        <w:t xml:space="preserve">he test in </w:t>
      </w:r>
      <w:sdt>
        <w:sdtPr>
          <w:rPr>
            <w:lang w:val="en-US"/>
          </w:rPr>
          <w:id w:val="539163915"/>
          <w:citation/>
        </w:sdtPr>
        <w:sdtEndPr/>
        <w:sdtContent>
          <w:r>
            <w:rPr>
              <w:lang w:val="en-US"/>
            </w:rPr>
            <w:fldChar w:fldCharType="begin"/>
          </w:r>
          <w:r w:rsidRPr="00E65E1D">
            <w:rPr>
              <w:lang w:val="en-US"/>
            </w:rPr>
            <w:instrText xml:space="preserve"> CITATION 3GP4 \l 1031 </w:instrText>
          </w:r>
          <w:r>
            <w:rPr>
              <w:lang w:val="en-US"/>
            </w:rPr>
            <w:fldChar w:fldCharType="separate"/>
          </w:r>
          <w:r w:rsidRPr="00E65E1D">
            <w:rPr>
              <w:noProof/>
              <w:lang w:val="en-US"/>
            </w:rPr>
            <w:t>[4]</w:t>
          </w:r>
          <w:r>
            <w:rPr>
              <w:lang w:val="en-US"/>
            </w:rPr>
            <w:fldChar w:fldCharType="end"/>
          </w:r>
        </w:sdtContent>
      </w:sdt>
      <w:r>
        <w:rPr>
          <w:lang w:val="en-US"/>
        </w:rPr>
        <w:t xml:space="preserve"> included different audio codecs at lower bit rates</w:t>
      </w:r>
      <w:r w:rsidR="00246966">
        <w:rPr>
          <w:lang w:val="en-US"/>
        </w:rPr>
        <w:t xml:space="preserve"> which presumably generated very noticeable signal processing artefacts. The CCR test presented here did not use different codecs but different audio systems – some of these also produced nonlinear distortions but the higher quality systems mostly had no perceivable distortions at all.</w:t>
      </w:r>
    </w:p>
    <w:p w:rsidR="007E522B" w:rsidRPr="00C50FEB" w:rsidRDefault="007E522B" w:rsidP="007E522B">
      <w:pPr>
        <w:pStyle w:val="berschrift1"/>
        <w:numPr>
          <w:ilvl w:val="0"/>
          <w:numId w:val="7"/>
        </w:numPr>
        <w:jc w:val="both"/>
        <w:rPr>
          <w:rFonts w:eastAsia="Times New Roman"/>
          <w:b/>
        </w:rPr>
      </w:pPr>
      <w:r>
        <w:rPr>
          <w:rFonts w:eastAsia="Times New Roman"/>
          <w:b/>
        </w:rPr>
        <w:t>Conclusions</w:t>
      </w:r>
    </w:p>
    <w:p w:rsidR="004E2448" w:rsidRDefault="003D1EA8" w:rsidP="004E2448">
      <w:pPr>
        <w:rPr>
          <w:lang w:val="en-US"/>
        </w:rPr>
      </w:pPr>
      <w:r>
        <w:rPr>
          <w:lang w:val="en-US"/>
        </w:rPr>
        <w:t xml:space="preserve">A </w:t>
      </w:r>
      <w:r w:rsidR="007E522B">
        <w:rPr>
          <w:lang w:val="en-US"/>
        </w:rPr>
        <w:t xml:space="preserve">CCR test </w:t>
      </w:r>
      <w:r w:rsidR="00423650">
        <w:rPr>
          <w:lang w:val="en-US"/>
        </w:rPr>
        <w:t xml:space="preserve">comparing different audio systems </w:t>
      </w:r>
      <w:r>
        <w:rPr>
          <w:lang w:val="en-US"/>
        </w:rPr>
        <w:t xml:space="preserve">was conducted with </w:t>
      </w:r>
      <w:r w:rsidR="00423650">
        <w:rPr>
          <w:lang w:val="en-US"/>
        </w:rPr>
        <w:t xml:space="preserve">38 </w:t>
      </w:r>
      <w:r w:rsidR="007E522B">
        <w:rPr>
          <w:lang w:val="en-US"/>
        </w:rPr>
        <w:t>naïve listeners</w:t>
      </w:r>
      <w:r w:rsidR="00423650">
        <w:rPr>
          <w:lang w:val="en-US"/>
        </w:rPr>
        <w:t>. Aspects of test design, signal choice and evaluation of the results were discussed. An analysis of the results revealed that the test subjects mostly gave re</w:t>
      </w:r>
      <w:r w:rsidR="00E65E1D">
        <w:rPr>
          <w:lang w:val="en-US"/>
        </w:rPr>
        <w:t>liable results with only a limited number of circular triads. This inherent reliability information was used to exclude the results for the test subjects that rated the test items in an inconsistent manner.</w:t>
      </w:r>
    </w:p>
    <w:p w:rsidR="00E65E1D" w:rsidRDefault="00E65E1D" w:rsidP="004E2448">
      <w:pPr>
        <w:rPr>
          <w:lang w:val="en-US"/>
        </w:rPr>
      </w:pPr>
      <w:r>
        <w:rPr>
          <w:lang w:val="en-US"/>
        </w:rPr>
        <w:t>A linear regression analysis of the relation between the overall quality and the individual dimensions timbre, distortion and immersion revealed that the overall quality can be closely approximated already from this simple linear regression.</w:t>
      </w:r>
      <w:r w:rsidR="00F524D8">
        <w:rPr>
          <w:lang w:val="en-US"/>
        </w:rPr>
        <w:t xml:space="preserve"> A brief comparison with a linear regression that was carried out for another listening test with similar quality dimensions supported the choice of quality dimensions. </w:t>
      </w:r>
      <w:r w:rsidR="0001291A">
        <w:rPr>
          <w:lang w:val="en-US"/>
        </w:rPr>
        <w:t>As there were some differences in t</w:t>
      </w:r>
      <w:r w:rsidR="00F524D8">
        <w:rPr>
          <w:lang w:val="en-US"/>
        </w:rPr>
        <w:t>he exact coefficients for the linear regression</w:t>
      </w:r>
      <w:r w:rsidR="0001291A">
        <w:rPr>
          <w:lang w:val="en-US"/>
        </w:rPr>
        <w:t>, these</w:t>
      </w:r>
      <w:r w:rsidR="00F524D8">
        <w:rPr>
          <w:lang w:val="en-US"/>
        </w:rPr>
        <w:t xml:space="preserve"> </w:t>
      </w:r>
      <w:r w:rsidR="0001291A">
        <w:rPr>
          <w:lang w:val="en-US"/>
        </w:rPr>
        <w:t>should be determined over a larger corpus of auditory tests.</w:t>
      </w:r>
    </w:p>
    <w:p w:rsidR="00E65E1D" w:rsidRPr="0070058D" w:rsidRDefault="00D4513D" w:rsidP="004E2448">
      <w:pPr>
        <w:pStyle w:val="berschrift1"/>
        <w:numPr>
          <w:ilvl w:val="0"/>
          <w:numId w:val="7"/>
        </w:numPr>
        <w:jc w:val="both"/>
        <w:rPr>
          <w:rFonts w:eastAsia="Times New Roman"/>
          <w:b/>
        </w:rPr>
      </w:pPr>
      <w:r>
        <w:rPr>
          <w:rFonts w:eastAsia="Times New Roman"/>
          <w:b/>
        </w:rPr>
        <w:t>References</w:t>
      </w:r>
      <w:r>
        <w:rPr>
          <w:lang w:val="en-US"/>
        </w:rPr>
        <w:fldChar w:fldCharType="begin"/>
      </w:r>
      <w:r w:rsidRPr="0070058D">
        <w:rPr>
          <w:lang w:val="en-US"/>
        </w:rPr>
        <w:instrText xml:space="preserve"> BIBLIOGRAPHY  \l 1031 </w:instrText>
      </w:r>
      <w:r>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0"/>
        <w:gridCol w:w="9029"/>
      </w:tblGrid>
      <w:tr w:rsidR="00E65E1D">
        <w:trPr>
          <w:divId w:val="1428847712"/>
          <w:tblCellSpacing w:w="15" w:type="dxa"/>
        </w:trPr>
        <w:tc>
          <w:tcPr>
            <w:tcW w:w="50" w:type="pct"/>
            <w:hideMark/>
          </w:tcPr>
          <w:p w:rsidR="00E65E1D" w:rsidRDefault="00E65E1D">
            <w:pPr>
              <w:pStyle w:val="Literaturverzeichnis"/>
              <w:rPr>
                <w:noProof/>
                <w:sz w:val="24"/>
                <w:szCs w:val="24"/>
              </w:rPr>
            </w:pPr>
            <w:r>
              <w:rPr>
                <w:noProof/>
              </w:rPr>
              <w:t xml:space="preserve">[1] </w:t>
            </w:r>
          </w:p>
        </w:tc>
        <w:tc>
          <w:tcPr>
            <w:tcW w:w="0" w:type="auto"/>
            <w:hideMark/>
          </w:tcPr>
          <w:p w:rsidR="00E65E1D" w:rsidRDefault="00E65E1D">
            <w:pPr>
              <w:pStyle w:val="Literaturverzeichnis"/>
              <w:rPr>
                <w:noProof/>
              </w:rPr>
            </w:pPr>
            <w:r>
              <w:rPr>
                <w:noProof/>
              </w:rPr>
              <w:t>3GPP S4-170746, „New WID on Test Methodologies for Evaluation of perceived Listening Quality in Immersive Audio Systems,“ Qualcomm Incorporated, HEAD acoustics GmbH, Sony Mobile Communications, Fraunhofer IIS, Huawei Technologies Co. Ltd., Ericsson LM, Sophia-Antipolis, France, 26-30 June 2017.</w:t>
            </w:r>
          </w:p>
        </w:tc>
      </w:tr>
      <w:tr w:rsidR="00E65E1D">
        <w:trPr>
          <w:divId w:val="1428847712"/>
          <w:tblCellSpacing w:w="15" w:type="dxa"/>
        </w:trPr>
        <w:tc>
          <w:tcPr>
            <w:tcW w:w="50" w:type="pct"/>
            <w:hideMark/>
          </w:tcPr>
          <w:p w:rsidR="00E65E1D" w:rsidRDefault="00E65E1D">
            <w:pPr>
              <w:pStyle w:val="Literaturverzeichnis"/>
              <w:rPr>
                <w:noProof/>
              </w:rPr>
            </w:pPr>
            <w:r>
              <w:rPr>
                <w:noProof/>
              </w:rPr>
              <w:t xml:space="preserve">[2] </w:t>
            </w:r>
          </w:p>
        </w:tc>
        <w:tc>
          <w:tcPr>
            <w:tcW w:w="0" w:type="auto"/>
            <w:hideMark/>
          </w:tcPr>
          <w:p w:rsidR="00E65E1D" w:rsidRDefault="00E65E1D">
            <w:pPr>
              <w:pStyle w:val="Literaturverzeichnis"/>
              <w:rPr>
                <w:noProof/>
              </w:rPr>
            </w:pPr>
            <w:r>
              <w:rPr>
                <w:noProof/>
              </w:rPr>
              <w:t xml:space="preserve">3GPP S4-170836, „Test Methodology for the Assessment of Audio Systems,“ HEAD </w:t>
            </w:r>
            <w:r>
              <w:rPr>
                <w:noProof/>
              </w:rPr>
              <w:lastRenderedPageBreak/>
              <w:t>acoustics GmbH, Belgrade, Serbia, 09-13 October 2017.</w:t>
            </w:r>
          </w:p>
        </w:tc>
      </w:tr>
      <w:tr w:rsidR="00E65E1D">
        <w:trPr>
          <w:divId w:val="1428847712"/>
          <w:tblCellSpacing w:w="15" w:type="dxa"/>
        </w:trPr>
        <w:tc>
          <w:tcPr>
            <w:tcW w:w="50" w:type="pct"/>
            <w:hideMark/>
          </w:tcPr>
          <w:p w:rsidR="00E65E1D" w:rsidRDefault="00E65E1D">
            <w:pPr>
              <w:pStyle w:val="Literaturverzeichnis"/>
              <w:rPr>
                <w:noProof/>
              </w:rPr>
            </w:pPr>
            <w:r>
              <w:rPr>
                <w:noProof/>
              </w:rPr>
              <w:lastRenderedPageBreak/>
              <w:t xml:space="preserve">[3] </w:t>
            </w:r>
          </w:p>
        </w:tc>
        <w:tc>
          <w:tcPr>
            <w:tcW w:w="0" w:type="auto"/>
            <w:hideMark/>
          </w:tcPr>
          <w:p w:rsidR="00E65E1D" w:rsidRDefault="00E65E1D">
            <w:pPr>
              <w:pStyle w:val="Literaturverzeichnis"/>
              <w:rPr>
                <w:noProof/>
              </w:rPr>
            </w:pPr>
            <w:r>
              <w:rPr>
                <w:noProof/>
              </w:rPr>
              <w:t>K. Tsukida und M. Gupta, „How to analyze paired comparison data,“ Department of Electrical Engineering, University of Washington, Seattle, 2011.</w:t>
            </w:r>
          </w:p>
        </w:tc>
      </w:tr>
      <w:tr w:rsidR="00E65E1D">
        <w:trPr>
          <w:divId w:val="1428847712"/>
          <w:tblCellSpacing w:w="15" w:type="dxa"/>
        </w:trPr>
        <w:tc>
          <w:tcPr>
            <w:tcW w:w="50" w:type="pct"/>
            <w:hideMark/>
          </w:tcPr>
          <w:p w:rsidR="00E65E1D" w:rsidRDefault="00E65E1D">
            <w:pPr>
              <w:pStyle w:val="Literaturverzeichnis"/>
              <w:rPr>
                <w:noProof/>
              </w:rPr>
            </w:pPr>
            <w:r>
              <w:rPr>
                <w:noProof/>
              </w:rPr>
              <w:t xml:space="preserve">[4] </w:t>
            </w:r>
          </w:p>
        </w:tc>
        <w:tc>
          <w:tcPr>
            <w:tcW w:w="0" w:type="auto"/>
            <w:hideMark/>
          </w:tcPr>
          <w:p w:rsidR="00E65E1D" w:rsidRDefault="00E65E1D">
            <w:pPr>
              <w:pStyle w:val="Literaturverzeichnis"/>
              <w:rPr>
                <w:noProof/>
              </w:rPr>
            </w:pPr>
            <w:r>
              <w:rPr>
                <w:noProof/>
              </w:rPr>
              <w:t>3GPP S4-171225, „On spatial audio quality assessment,“ Orange S.A., Albuquerque, New Mexico (US), 2017.</w:t>
            </w:r>
          </w:p>
        </w:tc>
      </w:tr>
    </w:tbl>
    <w:p w:rsidR="00E65E1D" w:rsidRDefault="00E65E1D">
      <w:pPr>
        <w:divId w:val="1428847712"/>
        <w:rPr>
          <w:rFonts w:eastAsia="Times New Roman"/>
          <w:noProof/>
        </w:rPr>
      </w:pPr>
    </w:p>
    <w:p w:rsidR="00D4513D" w:rsidRPr="004E2448" w:rsidRDefault="00D4513D" w:rsidP="004E2448">
      <w:pPr>
        <w:rPr>
          <w:lang w:val="en-US"/>
        </w:rPr>
      </w:pPr>
      <w:r>
        <w:rPr>
          <w:lang w:val="en-US"/>
        </w:rPr>
        <w:fldChar w:fldCharType="end"/>
      </w:r>
    </w:p>
    <w:sectPr w:rsidR="00D4513D" w:rsidRPr="004E2448" w:rsidSect="007F7E2F">
      <w:headerReference w:type="default" r:id="rId12"/>
      <w:footerReference w:type="default" r:id="rId13"/>
      <w:headerReference w:type="first" r:id="rId14"/>
      <w:footerReference w:type="first" r:id="rId15"/>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61C5" w:rsidRDefault="00B561C5">
      <w:r>
        <w:separator/>
      </w:r>
    </w:p>
  </w:endnote>
  <w:endnote w:type="continuationSeparator" w:id="0">
    <w:p w:rsidR="00B561C5" w:rsidRDefault="00B56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21002A87" w:usb1="00000000" w:usb2="00000000"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5C0" w:rsidRDefault="004435C0">
    <w:pPr>
      <w:pStyle w:val="Fuzeile"/>
      <w:tabs>
        <w:tab w:val="clear" w:pos="8640"/>
        <w:tab w:val="right" w:pos="9360"/>
      </w:tabs>
      <w:spacing w:after="0"/>
      <w:rPr>
        <w:sz w:val="18"/>
      </w:rPr>
    </w:pPr>
    <w:r>
      <w:rPr>
        <w:b/>
        <w:sz w:val="18"/>
      </w:rPr>
      <w:tab/>
    </w:r>
    <w:r>
      <w:rPr>
        <w:b/>
        <w:sz w:val="18"/>
      </w:rPr>
      <w:tab/>
      <w:t xml:space="preserve">Page: </w:t>
    </w:r>
    <w:r>
      <w:rPr>
        <w:rStyle w:val="Seitenzahl"/>
        <w:b/>
        <w:sz w:val="18"/>
      </w:rPr>
      <w:fldChar w:fldCharType="begin"/>
    </w:r>
    <w:r>
      <w:rPr>
        <w:rStyle w:val="Seitenzahl"/>
        <w:b/>
        <w:sz w:val="18"/>
      </w:rPr>
      <w:instrText xml:space="preserve"> PAGE </w:instrText>
    </w:r>
    <w:r>
      <w:rPr>
        <w:rStyle w:val="Seitenzahl"/>
        <w:b/>
        <w:sz w:val="18"/>
      </w:rPr>
      <w:fldChar w:fldCharType="separate"/>
    </w:r>
    <w:r w:rsidR="00DD30CE">
      <w:rPr>
        <w:rStyle w:val="Seitenzahl"/>
        <w:b/>
        <w:noProof/>
        <w:sz w:val="18"/>
      </w:rPr>
      <w:t>6</w:t>
    </w:r>
    <w:r>
      <w:rPr>
        <w:rStyle w:val="Seitenzahl"/>
        <w:b/>
        <w:sz w:val="18"/>
      </w:rPr>
      <w:fldChar w:fldCharType="end"/>
    </w:r>
    <w:r>
      <w:rPr>
        <w:rStyle w:val="Seitenzahl"/>
        <w:b/>
        <w:sz w:val="18"/>
      </w:rPr>
      <w:t>/</w:t>
    </w:r>
    <w:r>
      <w:rPr>
        <w:rStyle w:val="Seitenzahl"/>
        <w:b/>
        <w:sz w:val="18"/>
      </w:rPr>
      <w:fldChar w:fldCharType="begin"/>
    </w:r>
    <w:r>
      <w:rPr>
        <w:rStyle w:val="Seitenzahl"/>
        <w:b/>
        <w:sz w:val="18"/>
      </w:rPr>
      <w:instrText xml:space="preserve"> NUMPAGES </w:instrText>
    </w:r>
    <w:r>
      <w:rPr>
        <w:rStyle w:val="Seitenzahl"/>
        <w:b/>
        <w:sz w:val="18"/>
      </w:rPr>
      <w:fldChar w:fldCharType="separate"/>
    </w:r>
    <w:r w:rsidR="00DD30CE">
      <w:rPr>
        <w:rStyle w:val="Seitenzahl"/>
        <w:b/>
        <w:noProof/>
        <w:sz w:val="18"/>
      </w:rPr>
      <w:t>6</w:t>
    </w:r>
    <w:r>
      <w:rPr>
        <w:rStyle w:val="Seitenzahl"/>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5C0" w:rsidRDefault="004435C0">
    <w:pPr>
      <w:pStyle w:val="Fuzeile"/>
      <w:tabs>
        <w:tab w:val="clear" w:pos="8640"/>
        <w:tab w:val="right" w:pos="9360"/>
      </w:tabs>
      <w:spacing w:after="0"/>
      <w:rPr>
        <w:sz w:val="18"/>
      </w:rPr>
    </w:pPr>
    <w:r>
      <w:rPr>
        <w:b/>
        <w:sz w:val="18"/>
      </w:rPr>
      <w:tab/>
    </w:r>
    <w:r>
      <w:rPr>
        <w:b/>
        <w:sz w:val="18"/>
      </w:rPr>
      <w:tab/>
      <w:t xml:space="preserve">Page: </w:t>
    </w:r>
    <w:r>
      <w:rPr>
        <w:rStyle w:val="Seitenzahl"/>
        <w:b/>
        <w:sz w:val="18"/>
      </w:rPr>
      <w:fldChar w:fldCharType="begin"/>
    </w:r>
    <w:r>
      <w:rPr>
        <w:rStyle w:val="Seitenzahl"/>
        <w:b/>
        <w:sz w:val="18"/>
      </w:rPr>
      <w:instrText xml:space="preserve"> PAGE </w:instrText>
    </w:r>
    <w:r>
      <w:rPr>
        <w:rStyle w:val="Seitenzahl"/>
        <w:b/>
        <w:sz w:val="18"/>
      </w:rPr>
      <w:fldChar w:fldCharType="separate"/>
    </w:r>
    <w:r w:rsidR="00DD30CE">
      <w:rPr>
        <w:rStyle w:val="Seitenzahl"/>
        <w:b/>
        <w:noProof/>
        <w:sz w:val="18"/>
      </w:rPr>
      <w:t>1</w:t>
    </w:r>
    <w:r>
      <w:rPr>
        <w:rStyle w:val="Seitenzahl"/>
        <w:b/>
        <w:sz w:val="18"/>
      </w:rPr>
      <w:fldChar w:fldCharType="end"/>
    </w:r>
    <w:r>
      <w:rPr>
        <w:rStyle w:val="Seitenzahl"/>
        <w:b/>
        <w:sz w:val="18"/>
      </w:rPr>
      <w:t>/</w:t>
    </w:r>
    <w:r>
      <w:rPr>
        <w:rStyle w:val="Seitenzahl"/>
        <w:b/>
        <w:sz w:val="18"/>
      </w:rPr>
      <w:fldChar w:fldCharType="begin"/>
    </w:r>
    <w:r>
      <w:rPr>
        <w:rStyle w:val="Seitenzahl"/>
        <w:b/>
        <w:sz w:val="18"/>
      </w:rPr>
      <w:instrText xml:space="preserve"> NUMPAGES </w:instrText>
    </w:r>
    <w:r>
      <w:rPr>
        <w:rStyle w:val="Seitenzahl"/>
        <w:b/>
        <w:sz w:val="18"/>
      </w:rPr>
      <w:fldChar w:fldCharType="separate"/>
    </w:r>
    <w:r w:rsidR="00DD30CE">
      <w:rPr>
        <w:rStyle w:val="Seitenzahl"/>
        <w:b/>
        <w:noProof/>
        <w:sz w:val="18"/>
      </w:rPr>
      <w:t>6</w:t>
    </w:r>
    <w:r>
      <w:rPr>
        <w:rStyle w:val="Seitenzah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61C5" w:rsidRDefault="00B561C5">
      <w:r>
        <w:separator/>
      </w:r>
    </w:p>
  </w:footnote>
  <w:footnote w:type="continuationSeparator" w:id="0">
    <w:p w:rsidR="00B561C5" w:rsidRDefault="00B56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5C0" w:rsidRDefault="004435C0">
    <w:pPr>
      <w:pStyle w:val="Kopfzeile"/>
      <w:spacing w:after="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5C0" w:rsidRPr="006D0105" w:rsidRDefault="004435C0" w:rsidP="004C2242">
    <w:pPr>
      <w:tabs>
        <w:tab w:val="right" w:pos="9356"/>
      </w:tabs>
      <w:spacing w:after="0"/>
      <w:rPr>
        <w:rFonts w:cs="Arial"/>
        <w:b/>
        <w:i/>
        <w:sz w:val="20"/>
      </w:rPr>
    </w:pPr>
    <w:r w:rsidRPr="006D0105">
      <w:rPr>
        <w:rFonts w:cs="Arial"/>
        <w:sz w:val="20"/>
        <w:lang w:val="en-US"/>
      </w:rPr>
      <w:t>T</w:t>
    </w:r>
    <w:r>
      <w:rPr>
        <w:rFonts w:cs="Arial"/>
        <w:sz w:val="20"/>
        <w:lang w:val="en-US"/>
      </w:rPr>
      <w:t>SG SA4#9</w:t>
    </w:r>
    <w:r w:rsidR="00A45E3D">
      <w:rPr>
        <w:rFonts w:cs="Arial"/>
        <w:sz w:val="20"/>
        <w:lang w:val="en-US"/>
      </w:rPr>
      <w:t>7</w:t>
    </w:r>
    <w:r w:rsidRPr="006D0105">
      <w:rPr>
        <w:rFonts w:cs="Arial"/>
        <w:sz w:val="20"/>
        <w:lang w:val="en-US"/>
      </w:rPr>
      <w:t xml:space="preserve"> meeting</w:t>
    </w:r>
    <w:r w:rsidRPr="006D0105">
      <w:rPr>
        <w:rFonts w:cs="Arial"/>
        <w:b/>
        <w:i/>
        <w:sz w:val="20"/>
      </w:rPr>
      <w:tab/>
    </w:r>
    <w:proofErr w:type="spellStart"/>
    <w:r>
      <w:rPr>
        <w:rFonts w:cs="Arial"/>
        <w:b/>
        <w:i/>
        <w:sz w:val="28"/>
        <w:szCs w:val="28"/>
      </w:rPr>
      <w:t>Tdoc</w:t>
    </w:r>
    <w:proofErr w:type="spellEnd"/>
    <w:r>
      <w:rPr>
        <w:rFonts w:cs="Arial"/>
        <w:b/>
        <w:i/>
        <w:sz w:val="28"/>
        <w:szCs w:val="28"/>
      </w:rPr>
      <w:t xml:space="preserve"> S4-</w:t>
    </w:r>
    <w:r w:rsidR="005A19E1" w:rsidRPr="005A19E1">
      <w:rPr>
        <w:rFonts w:cs="Arial"/>
        <w:b/>
        <w:i/>
        <w:sz w:val="28"/>
        <w:szCs w:val="28"/>
      </w:rPr>
      <w:t>1</w:t>
    </w:r>
    <w:r w:rsidR="008F04C6">
      <w:rPr>
        <w:rFonts w:cs="Arial"/>
        <w:b/>
        <w:i/>
        <w:sz w:val="28"/>
        <w:szCs w:val="28"/>
      </w:rPr>
      <w:t>8</w:t>
    </w:r>
    <w:r w:rsidR="00356785">
      <w:rPr>
        <w:rFonts w:cs="Arial"/>
        <w:b/>
        <w:i/>
        <w:sz w:val="28"/>
        <w:szCs w:val="28"/>
      </w:rPr>
      <w:t>0</w:t>
    </w:r>
    <w:r w:rsidR="00D55DAA">
      <w:rPr>
        <w:rFonts w:cs="Arial"/>
        <w:b/>
        <w:i/>
        <w:sz w:val="28"/>
        <w:szCs w:val="28"/>
      </w:rPr>
      <w:t>125</w:t>
    </w:r>
  </w:p>
  <w:p w:rsidR="004435C0" w:rsidRPr="006D0105" w:rsidRDefault="00A45E3D" w:rsidP="004C2242">
    <w:pPr>
      <w:tabs>
        <w:tab w:val="right" w:pos="9360"/>
      </w:tabs>
      <w:spacing w:after="0"/>
      <w:rPr>
        <w:rFonts w:cs="Arial"/>
        <w:b/>
        <w:sz w:val="20"/>
        <w:lang w:val="en-US" w:eastAsia="zh-CN"/>
      </w:rPr>
    </w:pPr>
    <w:r>
      <w:rPr>
        <w:rFonts w:cs="Arial"/>
        <w:sz w:val="20"/>
        <w:lang w:eastAsia="zh-CN"/>
      </w:rPr>
      <w:t>05-</w:t>
    </w:r>
    <w:r w:rsidR="00033ADA">
      <w:rPr>
        <w:rFonts w:cs="Arial"/>
        <w:sz w:val="20"/>
        <w:lang w:eastAsia="zh-CN"/>
      </w:rPr>
      <w:t>09</w:t>
    </w:r>
    <w:r w:rsidR="004435C0">
      <w:rPr>
        <w:rFonts w:cs="Arial"/>
        <w:sz w:val="20"/>
        <w:lang w:eastAsia="zh-CN"/>
      </w:rPr>
      <w:t xml:space="preserve"> </w:t>
    </w:r>
    <w:r>
      <w:rPr>
        <w:rFonts w:cs="Arial"/>
        <w:sz w:val="20"/>
        <w:lang w:eastAsia="zh-CN"/>
      </w:rPr>
      <w:t>February</w:t>
    </w:r>
    <w:r w:rsidR="004435C0">
      <w:rPr>
        <w:rFonts w:cs="Arial"/>
        <w:sz w:val="20"/>
        <w:lang w:eastAsia="zh-CN"/>
      </w:rPr>
      <w:t xml:space="preserve">, </w:t>
    </w:r>
    <w:r>
      <w:rPr>
        <w:rFonts w:cs="Arial"/>
        <w:sz w:val="20"/>
        <w:lang w:eastAsia="zh-CN"/>
      </w:rPr>
      <w:t>Fukuoka</w:t>
    </w:r>
    <w:r w:rsidR="004435C0" w:rsidRPr="00041009">
      <w:rPr>
        <w:rFonts w:cs="Arial"/>
        <w:sz w:val="20"/>
        <w:lang w:eastAsia="zh-CN"/>
      </w:rPr>
      <w:t xml:space="preserve">, </w:t>
    </w:r>
    <w:r>
      <w:rPr>
        <w:rFonts w:cs="Arial"/>
        <w:sz w:val="20"/>
        <w:lang w:eastAsia="zh-CN"/>
      </w:rPr>
      <w:t>Japan</w:t>
    </w:r>
  </w:p>
  <w:p w:rsidR="004435C0" w:rsidRPr="006D0105" w:rsidRDefault="004435C0">
    <w:pPr>
      <w:tabs>
        <w:tab w:val="right" w:pos="9540"/>
      </w:tabs>
      <w:spacing w:after="0"/>
      <w:rPr>
        <w:sz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7E94451"/>
    <w:multiLevelType w:val="hybridMultilevel"/>
    <w:tmpl w:val="2CAE67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871A33"/>
    <w:multiLevelType w:val="multilevel"/>
    <w:tmpl w:val="BA76E9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68B523E"/>
    <w:multiLevelType w:val="hybridMultilevel"/>
    <w:tmpl w:val="A740C4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EE5D92"/>
    <w:multiLevelType w:val="multilevel"/>
    <w:tmpl w:val="EBC440AA"/>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8"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9"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2"/>
  </w:num>
  <w:num w:numId="4">
    <w:abstractNumId w:val="3"/>
  </w:num>
  <w:num w:numId="5">
    <w:abstractNumId w:val="6"/>
  </w:num>
  <w:num w:numId="6">
    <w:abstractNumId w:val="8"/>
  </w:num>
  <w:num w:numId="7">
    <w:abstractNumId w:val="7"/>
  </w:num>
  <w:num w:numId="8">
    <w:abstractNumId w:val="4"/>
  </w:num>
  <w:num w:numId="9">
    <w:abstractNumId w:val="5"/>
  </w:num>
  <w:num w:numId="1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0"/>
  <w:activeWritingStyle w:appName="MSWord" w:lang="en-AU"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555"/>
    <w:rsid w:val="0000590E"/>
    <w:rsid w:val="00006E22"/>
    <w:rsid w:val="000073F0"/>
    <w:rsid w:val="0000777C"/>
    <w:rsid w:val="00007DFC"/>
    <w:rsid w:val="0001027C"/>
    <w:rsid w:val="000103BB"/>
    <w:rsid w:val="000106ED"/>
    <w:rsid w:val="00010E29"/>
    <w:rsid w:val="00010F6E"/>
    <w:rsid w:val="00011FAD"/>
    <w:rsid w:val="0001230D"/>
    <w:rsid w:val="0001291A"/>
    <w:rsid w:val="00012C7F"/>
    <w:rsid w:val="00012F0D"/>
    <w:rsid w:val="0001369C"/>
    <w:rsid w:val="000142BD"/>
    <w:rsid w:val="00015C14"/>
    <w:rsid w:val="00015D7B"/>
    <w:rsid w:val="00016E7A"/>
    <w:rsid w:val="000178B0"/>
    <w:rsid w:val="00017E58"/>
    <w:rsid w:val="0002113E"/>
    <w:rsid w:val="00021A20"/>
    <w:rsid w:val="00021B78"/>
    <w:rsid w:val="000224FC"/>
    <w:rsid w:val="00022E1E"/>
    <w:rsid w:val="00023CD0"/>
    <w:rsid w:val="00025795"/>
    <w:rsid w:val="00025966"/>
    <w:rsid w:val="00025AD2"/>
    <w:rsid w:val="00025D1E"/>
    <w:rsid w:val="00025E34"/>
    <w:rsid w:val="00025F55"/>
    <w:rsid w:val="00026020"/>
    <w:rsid w:val="000262C1"/>
    <w:rsid w:val="00026D7D"/>
    <w:rsid w:val="00030305"/>
    <w:rsid w:val="00030F6E"/>
    <w:rsid w:val="000314A3"/>
    <w:rsid w:val="0003169B"/>
    <w:rsid w:val="00031CEF"/>
    <w:rsid w:val="00032488"/>
    <w:rsid w:val="000328B4"/>
    <w:rsid w:val="00032B47"/>
    <w:rsid w:val="00032E50"/>
    <w:rsid w:val="00033404"/>
    <w:rsid w:val="00033AB6"/>
    <w:rsid w:val="00033ADA"/>
    <w:rsid w:val="000348D8"/>
    <w:rsid w:val="00035905"/>
    <w:rsid w:val="00036081"/>
    <w:rsid w:val="00036BB2"/>
    <w:rsid w:val="0003789A"/>
    <w:rsid w:val="00037A72"/>
    <w:rsid w:val="00037DFB"/>
    <w:rsid w:val="00040015"/>
    <w:rsid w:val="00040821"/>
    <w:rsid w:val="000409B2"/>
    <w:rsid w:val="00041009"/>
    <w:rsid w:val="00041D1B"/>
    <w:rsid w:val="00041E71"/>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248A"/>
    <w:rsid w:val="000531AC"/>
    <w:rsid w:val="0005337B"/>
    <w:rsid w:val="00053C83"/>
    <w:rsid w:val="00054807"/>
    <w:rsid w:val="00054B7D"/>
    <w:rsid w:val="00056A7A"/>
    <w:rsid w:val="00057287"/>
    <w:rsid w:val="000572DB"/>
    <w:rsid w:val="0006086C"/>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E72"/>
    <w:rsid w:val="00076B3D"/>
    <w:rsid w:val="00076DB8"/>
    <w:rsid w:val="00076F58"/>
    <w:rsid w:val="000778D6"/>
    <w:rsid w:val="00077A25"/>
    <w:rsid w:val="00077A73"/>
    <w:rsid w:val="000807DB"/>
    <w:rsid w:val="00081BD1"/>
    <w:rsid w:val="000823DF"/>
    <w:rsid w:val="00082CB8"/>
    <w:rsid w:val="00082CF1"/>
    <w:rsid w:val="0008325F"/>
    <w:rsid w:val="00083817"/>
    <w:rsid w:val="00084C67"/>
    <w:rsid w:val="000853AA"/>
    <w:rsid w:val="000858D8"/>
    <w:rsid w:val="00087CD7"/>
    <w:rsid w:val="00087DA9"/>
    <w:rsid w:val="00087E35"/>
    <w:rsid w:val="00087E82"/>
    <w:rsid w:val="00091DD9"/>
    <w:rsid w:val="00091F2B"/>
    <w:rsid w:val="00092750"/>
    <w:rsid w:val="00093074"/>
    <w:rsid w:val="00093B5D"/>
    <w:rsid w:val="00094887"/>
    <w:rsid w:val="0009576B"/>
    <w:rsid w:val="00097D85"/>
    <w:rsid w:val="000A04FC"/>
    <w:rsid w:val="000A0FC3"/>
    <w:rsid w:val="000A20A8"/>
    <w:rsid w:val="000A296C"/>
    <w:rsid w:val="000A3045"/>
    <w:rsid w:val="000A4190"/>
    <w:rsid w:val="000A508D"/>
    <w:rsid w:val="000A576A"/>
    <w:rsid w:val="000A5878"/>
    <w:rsid w:val="000A5A0F"/>
    <w:rsid w:val="000A5D39"/>
    <w:rsid w:val="000A677F"/>
    <w:rsid w:val="000A75BC"/>
    <w:rsid w:val="000B0EA6"/>
    <w:rsid w:val="000B22E8"/>
    <w:rsid w:val="000B269A"/>
    <w:rsid w:val="000B27EC"/>
    <w:rsid w:val="000B281F"/>
    <w:rsid w:val="000B324D"/>
    <w:rsid w:val="000B3F4A"/>
    <w:rsid w:val="000B46C7"/>
    <w:rsid w:val="000B4E77"/>
    <w:rsid w:val="000B5A05"/>
    <w:rsid w:val="000B5E95"/>
    <w:rsid w:val="000B6389"/>
    <w:rsid w:val="000B6D95"/>
    <w:rsid w:val="000B6FA8"/>
    <w:rsid w:val="000B710B"/>
    <w:rsid w:val="000B71CD"/>
    <w:rsid w:val="000B740C"/>
    <w:rsid w:val="000B7457"/>
    <w:rsid w:val="000C04E9"/>
    <w:rsid w:val="000C246B"/>
    <w:rsid w:val="000C2A29"/>
    <w:rsid w:val="000C2ECF"/>
    <w:rsid w:val="000C2F2E"/>
    <w:rsid w:val="000C6948"/>
    <w:rsid w:val="000C707C"/>
    <w:rsid w:val="000C7655"/>
    <w:rsid w:val="000C793D"/>
    <w:rsid w:val="000C7E59"/>
    <w:rsid w:val="000D0D5D"/>
    <w:rsid w:val="000D14F2"/>
    <w:rsid w:val="000D2278"/>
    <w:rsid w:val="000D2E4C"/>
    <w:rsid w:val="000D3307"/>
    <w:rsid w:val="000D3D4C"/>
    <w:rsid w:val="000D48EB"/>
    <w:rsid w:val="000D5825"/>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4590"/>
    <w:rsid w:val="000E4947"/>
    <w:rsid w:val="000E5953"/>
    <w:rsid w:val="000E70DC"/>
    <w:rsid w:val="000F1D71"/>
    <w:rsid w:val="000F2168"/>
    <w:rsid w:val="000F2243"/>
    <w:rsid w:val="000F357B"/>
    <w:rsid w:val="000F3C59"/>
    <w:rsid w:val="000F441B"/>
    <w:rsid w:val="000F6208"/>
    <w:rsid w:val="000F651D"/>
    <w:rsid w:val="000F6D0E"/>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4021"/>
    <w:rsid w:val="00134101"/>
    <w:rsid w:val="0013464B"/>
    <w:rsid w:val="00134B39"/>
    <w:rsid w:val="00134C5A"/>
    <w:rsid w:val="0013541A"/>
    <w:rsid w:val="001355BA"/>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3E33"/>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BEE"/>
    <w:rsid w:val="00155F16"/>
    <w:rsid w:val="0015600D"/>
    <w:rsid w:val="00156120"/>
    <w:rsid w:val="00156777"/>
    <w:rsid w:val="00156E04"/>
    <w:rsid w:val="0015788F"/>
    <w:rsid w:val="00157D5A"/>
    <w:rsid w:val="001603A4"/>
    <w:rsid w:val="0016098D"/>
    <w:rsid w:val="0016132A"/>
    <w:rsid w:val="001624E1"/>
    <w:rsid w:val="00162A03"/>
    <w:rsid w:val="001630BC"/>
    <w:rsid w:val="001630EB"/>
    <w:rsid w:val="001630F1"/>
    <w:rsid w:val="00163ACF"/>
    <w:rsid w:val="00163C63"/>
    <w:rsid w:val="0016634E"/>
    <w:rsid w:val="00166A5F"/>
    <w:rsid w:val="0016779A"/>
    <w:rsid w:val="00167C16"/>
    <w:rsid w:val="0017000E"/>
    <w:rsid w:val="0017010E"/>
    <w:rsid w:val="00170E1E"/>
    <w:rsid w:val="00171922"/>
    <w:rsid w:val="001719DD"/>
    <w:rsid w:val="001730D5"/>
    <w:rsid w:val="00173288"/>
    <w:rsid w:val="00173574"/>
    <w:rsid w:val="00173AD4"/>
    <w:rsid w:val="00175507"/>
    <w:rsid w:val="00177159"/>
    <w:rsid w:val="001776A0"/>
    <w:rsid w:val="001779DC"/>
    <w:rsid w:val="00177C17"/>
    <w:rsid w:val="00180626"/>
    <w:rsid w:val="00180BA8"/>
    <w:rsid w:val="0018170D"/>
    <w:rsid w:val="00181AC0"/>
    <w:rsid w:val="00181F9F"/>
    <w:rsid w:val="00182522"/>
    <w:rsid w:val="0018334E"/>
    <w:rsid w:val="0018494F"/>
    <w:rsid w:val="00184AF1"/>
    <w:rsid w:val="00185584"/>
    <w:rsid w:val="00186252"/>
    <w:rsid w:val="00186975"/>
    <w:rsid w:val="00190204"/>
    <w:rsid w:val="00190DEC"/>
    <w:rsid w:val="001919DC"/>
    <w:rsid w:val="00191EF2"/>
    <w:rsid w:val="00192FE1"/>
    <w:rsid w:val="00193F4A"/>
    <w:rsid w:val="00193FEE"/>
    <w:rsid w:val="001948B5"/>
    <w:rsid w:val="00194F89"/>
    <w:rsid w:val="00196C16"/>
    <w:rsid w:val="00196DAD"/>
    <w:rsid w:val="0019741C"/>
    <w:rsid w:val="001A0579"/>
    <w:rsid w:val="001A0C9E"/>
    <w:rsid w:val="001A0DB4"/>
    <w:rsid w:val="001A24B2"/>
    <w:rsid w:val="001A2684"/>
    <w:rsid w:val="001A2A52"/>
    <w:rsid w:val="001A2CB6"/>
    <w:rsid w:val="001A46E7"/>
    <w:rsid w:val="001A643B"/>
    <w:rsid w:val="001A69B5"/>
    <w:rsid w:val="001A79A7"/>
    <w:rsid w:val="001A7DB0"/>
    <w:rsid w:val="001B111F"/>
    <w:rsid w:val="001B1457"/>
    <w:rsid w:val="001B1932"/>
    <w:rsid w:val="001B2230"/>
    <w:rsid w:val="001B26AD"/>
    <w:rsid w:val="001B480E"/>
    <w:rsid w:val="001B5A20"/>
    <w:rsid w:val="001B68A9"/>
    <w:rsid w:val="001B7BC7"/>
    <w:rsid w:val="001B7C81"/>
    <w:rsid w:val="001C052B"/>
    <w:rsid w:val="001C09AE"/>
    <w:rsid w:val="001C1215"/>
    <w:rsid w:val="001C2D8C"/>
    <w:rsid w:val="001C3EB3"/>
    <w:rsid w:val="001C3FF3"/>
    <w:rsid w:val="001C47EB"/>
    <w:rsid w:val="001C4831"/>
    <w:rsid w:val="001C4A5C"/>
    <w:rsid w:val="001C4BBD"/>
    <w:rsid w:val="001C527D"/>
    <w:rsid w:val="001C5688"/>
    <w:rsid w:val="001C62BE"/>
    <w:rsid w:val="001C7901"/>
    <w:rsid w:val="001C7A18"/>
    <w:rsid w:val="001D0EDD"/>
    <w:rsid w:val="001D2D54"/>
    <w:rsid w:val="001D391E"/>
    <w:rsid w:val="001D449C"/>
    <w:rsid w:val="001D4A4E"/>
    <w:rsid w:val="001D513F"/>
    <w:rsid w:val="001D623A"/>
    <w:rsid w:val="001D659E"/>
    <w:rsid w:val="001D6857"/>
    <w:rsid w:val="001D716A"/>
    <w:rsid w:val="001E0773"/>
    <w:rsid w:val="001E20BF"/>
    <w:rsid w:val="001E2662"/>
    <w:rsid w:val="001E3E82"/>
    <w:rsid w:val="001E4AB4"/>
    <w:rsid w:val="001E78A3"/>
    <w:rsid w:val="001E78D9"/>
    <w:rsid w:val="001F05D8"/>
    <w:rsid w:val="001F2E15"/>
    <w:rsid w:val="001F3022"/>
    <w:rsid w:val="001F3811"/>
    <w:rsid w:val="001F3888"/>
    <w:rsid w:val="001F5016"/>
    <w:rsid w:val="001F50BA"/>
    <w:rsid w:val="001F5D01"/>
    <w:rsid w:val="001F6C4C"/>
    <w:rsid w:val="001F6EEB"/>
    <w:rsid w:val="001F7A89"/>
    <w:rsid w:val="001F7CBA"/>
    <w:rsid w:val="002005E6"/>
    <w:rsid w:val="00202505"/>
    <w:rsid w:val="0020388E"/>
    <w:rsid w:val="00204880"/>
    <w:rsid w:val="00204B74"/>
    <w:rsid w:val="0020526D"/>
    <w:rsid w:val="002057B1"/>
    <w:rsid w:val="002057F7"/>
    <w:rsid w:val="00205D93"/>
    <w:rsid w:val="00205FD6"/>
    <w:rsid w:val="0020689C"/>
    <w:rsid w:val="00206E0C"/>
    <w:rsid w:val="00210C60"/>
    <w:rsid w:val="00211531"/>
    <w:rsid w:val="00212149"/>
    <w:rsid w:val="002121AC"/>
    <w:rsid w:val="002129A6"/>
    <w:rsid w:val="00213FBE"/>
    <w:rsid w:val="00214ACA"/>
    <w:rsid w:val="00215741"/>
    <w:rsid w:val="00217488"/>
    <w:rsid w:val="00220477"/>
    <w:rsid w:val="00221207"/>
    <w:rsid w:val="00221D56"/>
    <w:rsid w:val="00221E10"/>
    <w:rsid w:val="00222531"/>
    <w:rsid w:val="002234EF"/>
    <w:rsid w:val="002242A2"/>
    <w:rsid w:val="0022562B"/>
    <w:rsid w:val="00226177"/>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63CE"/>
    <w:rsid w:val="002369EC"/>
    <w:rsid w:val="0023722E"/>
    <w:rsid w:val="00237FD8"/>
    <w:rsid w:val="0024048F"/>
    <w:rsid w:val="002404D2"/>
    <w:rsid w:val="00240803"/>
    <w:rsid w:val="0024151C"/>
    <w:rsid w:val="00241C2A"/>
    <w:rsid w:val="00241EC8"/>
    <w:rsid w:val="00242072"/>
    <w:rsid w:val="00242AE8"/>
    <w:rsid w:val="002433BD"/>
    <w:rsid w:val="00243682"/>
    <w:rsid w:val="00243A46"/>
    <w:rsid w:val="00243C1A"/>
    <w:rsid w:val="00243EE2"/>
    <w:rsid w:val="00244149"/>
    <w:rsid w:val="0024459B"/>
    <w:rsid w:val="002446CB"/>
    <w:rsid w:val="0024632B"/>
    <w:rsid w:val="002463A4"/>
    <w:rsid w:val="00246966"/>
    <w:rsid w:val="00247EF3"/>
    <w:rsid w:val="00250051"/>
    <w:rsid w:val="00250130"/>
    <w:rsid w:val="002508EC"/>
    <w:rsid w:val="00250E52"/>
    <w:rsid w:val="002514A3"/>
    <w:rsid w:val="002515DF"/>
    <w:rsid w:val="002531A3"/>
    <w:rsid w:val="00253449"/>
    <w:rsid w:val="00253472"/>
    <w:rsid w:val="00253829"/>
    <w:rsid w:val="0025492C"/>
    <w:rsid w:val="0025507F"/>
    <w:rsid w:val="00256746"/>
    <w:rsid w:val="00256AF6"/>
    <w:rsid w:val="0025795B"/>
    <w:rsid w:val="00260968"/>
    <w:rsid w:val="00260E04"/>
    <w:rsid w:val="00261A39"/>
    <w:rsid w:val="00261DB1"/>
    <w:rsid w:val="0026248A"/>
    <w:rsid w:val="0026284B"/>
    <w:rsid w:val="00262940"/>
    <w:rsid w:val="00262BBB"/>
    <w:rsid w:val="0026327D"/>
    <w:rsid w:val="00265691"/>
    <w:rsid w:val="00265E26"/>
    <w:rsid w:val="0026668F"/>
    <w:rsid w:val="00266D30"/>
    <w:rsid w:val="002673CF"/>
    <w:rsid w:val="0027175F"/>
    <w:rsid w:val="00271A35"/>
    <w:rsid w:val="00271B16"/>
    <w:rsid w:val="00271EE3"/>
    <w:rsid w:val="002729D0"/>
    <w:rsid w:val="00272ADA"/>
    <w:rsid w:val="0027322D"/>
    <w:rsid w:val="00273E27"/>
    <w:rsid w:val="00273F13"/>
    <w:rsid w:val="00274ED2"/>
    <w:rsid w:val="00275A8D"/>
    <w:rsid w:val="00276151"/>
    <w:rsid w:val="002808C0"/>
    <w:rsid w:val="00280B8B"/>
    <w:rsid w:val="00281934"/>
    <w:rsid w:val="00281A5C"/>
    <w:rsid w:val="00281D59"/>
    <w:rsid w:val="00282146"/>
    <w:rsid w:val="00282F44"/>
    <w:rsid w:val="00283062"/>
    <w:rsid w:val="00283331"/>
    <w:rsid w:val="00284424"/>
    <w:rsid w:val="00284FA8"/>
    <w:rsid w:val="00286028"/>
    <w:rsid w:val="002860AF"/>
    <w:rsid w:val="002867C9"/>
    <w:rsid w:val="00291732"/>
    <w:rsid w:val="0029261E"/>
    <w:rsid w:val="00292EEA"/>
    <w:rsid w:val="00293C32"/>
    <w:rsid w:val="00293C7E"/>
    <w:rsid w:val="002941AE"/>
    <w:rsid w:val="0029614A"/>
    <w:rsid w:val="00296B9C"/>
    <w:rsid w:val="00296D99"/>
    <w:rsid w:val="00297586"/>
    <w:rsid w:val="002979A7"/>
    <w:rsid w:val="00297A84"/>
    <w:rsid w:val="00297B71"/>
    <w:rsid w:val="00297CDE"/>
    <w:rsid w:val="002A0886"/>
    <w:rsid w:val="002A0ACE"/>
    <w:rsid w:val="002A0D51"/>
    <w:rsid w:val="002A0D75"/>
    <w:rsid w:val="002A114D"/>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555C"/>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E8"/>
    <w:rsid w:val="002D5A61"/>
    <w:rsid w:val="002E0119"/>
    <w:rsid w:val="002E0AEA"/>
    <w:rsid w:val="002E181F"/>
    <w:rsid w:val="002E2352"/>
    <w:rsid w:val="002E354C"/>
    <w:rsid w:val="002E4630"/>
    <w:rsid w:val="002E4F56"/>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CE0"/>
    <w:rsid w:val="002F7737"/>
    <w:rsid w:val="003013B5"/>
    <w:rsid w:val="00302245"/>
    <w:rsid w:val="00303760"/>
    <w:rsid w:val="00303D92"/>
    <w:rsid w:val="00304169"/>
    <w:rsid w:val="0030509B"/>
    <w:rsid w:val="00305737"/>
    <w:rsid w:val="00306498"/>
    <w:rsid w:val="0030674D"/>
    <w:rsid w:val="00306861"/>
    <w:rsid w:val="00307B78"/>
    <w:rsid w:val="00310170"/>
    <w:rsid w:val="00310D2B"/>
    <w:rsid w:val="00310D50"/>
    <w:rsid w:val="00311AC6"/>
    <w:rsid w:val="00311EE2"/>
    <w:rsid w:val="003123B8"/>
    <w:rsid w:val="00312B67"/>
    <w:rsid w:val="00314309"/>
    <w:rsid w:val="00314D25"/>
    <w:rsid w:val="00315C39"/>
    <w:rsid w:val="00315D7E"/>
    <w:rsid w:val="003166E4"/>
    <w:rsid w:val="003169AD"/>
    <w:rsid w:val="00317483"/>
    <w:rsid w:val="003179EE"/>
    <w:rsid w:val="00321007"/>
    <w:rsid w:val="00321C70"/>
    <w:rsid w:val="00322655"/>
    <w:rsid w:val="00323DBC"/>
    <w:rsid w:val="003243E4"/>
    <w:rsid w:val="00324425"/>
    <w:rsid w:val="00324561"/>
    <w:rsid w:val="00324D79"/>
    <w:rsid w:val="00326ACE"/>
    <w:rsid w:val="00331BCF"/>
    <w:rsid w:val="00333919"/>
    <w:rsid w:val="00334429"/>
    <w:rsid w:val="003345AB"/>
    <w:rsid w:val="003349CA"/>
    <w:rsid w:val="00334A3F"/>
    <w:rsid w:val="00335782"/>
    <w:rsid w:val="003357F0"/>
    <w:rsid w:val="0033640A"/>
    <w:rsid w:val="00337BF8"/>
    <w:rsid w:val="00337CA2"/>
    <w:rsid w:val="003409B9"/>
    <w:rsid w:val="00340C15"/>
    <w:rsid w:val="003423B2"/>
    <w:rsid w:val="003424EF"/>
    <w:rsid w:val="00343214"/>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3F37"/>
    <w:rsid w:val="00354667"/>
    <w:rsid w:val="003559B3"/>
    <w:rsid w:val="00356006"/>
    <w:rsid w:val="00356246"/>
    <w:rsid w:val="00356380"/>
    <w:rsid w:val="0035645B"/>
    <w:rsid w:val="00356785"/>
    <w:rsid w:val="003569E2"/>
    <w:rsid w:val="003579EF"/>
    <w:rsid w:val="00360670"/>
    <w:rsid w:val="00360F2E"/>
    <w:rsid w:val="0036116B"/>
    <w:rsid w:val="003621BE"/>
    <w:rsid w:val="003641E2"/>
    <w:rsid w:val="0036422F"/>
    <w:rsid w:val="00364495"/>
    <w:rsid w:val="00364F31"/>
    <w:rsid w:val="003652E5"/>
    <w:rsid w:val="00366958"/>
    <w:rsid w:val="00366BB9"/>
    <w:rsid w:val="00366DAB"/>
    <w:rsid w:val="00370271"/>
    <w:rsid w:val="00370E6F"/>
    <w:rsid w:val="003714EF"/>
    <w:rsid w:val="0037185A"/>
    <w:rsid w:val="00372F0F"/>
    <w:rsid w:val="003735F4"/>
    <w:rsid w:val="00373F03"/>
    <w:rsid w:val="00374291"/>
    <w:rsid w:val="00374665"/>
    <w:rsid w:val="0037660D"/>
    <w:rsid w:val="00376E84"/>
    <w:rsid w:val="00377889"/>
    <w:rsid w:val="0038002B"/>
    <w:rsid w:val="00380315"/>
    <w:rsid w:val="003811AC"/>
    <w:rsid w:val="00382253"/>
    <w:rsid w:val="00382EAD"/>
    <w:rsid w:val="00383770"/>
    <w:rsid w:val="003838AB"/>
    <w:rsid w:val="00384167"/>
    <w:rsid w:val="003844DC"/>
    <w:rsid w:val="00385047"/>
    <w:rsid w:val="0038551D"/>
    <w:rsid w:val="00385585"/>
    <w:rsid w:val="003857F6"/>
    <w:rsid w:val="0038699E"/>
    <w:rsid w:val="00386CA2"/>
    <w:rsid w:val="00387576"/>
    <w:rsid w:val="0038759D"/>
    <w:rsid w:val="00387699"/>
    <w:rsid w:val="00387EF1"/>
    <w:rsid w:val="0039038D"/>
    <w:rsid w:val="003908C6"/>
    <w:rsid w:val="00390B2E"/>
    <w:rsid w:val="003926D4"/>
    <w:rsid w:val="0039280E"/>
    <w:rsid w:val="0039350F"/>
    <w:rsid w:val="00394884"/>
    <w:rsid w:val="0039530E"/>
    <w:rsid w:val="00395655"/>
    <w:rsid w:val="003A1CE0"/>
    <w:rsid w:val="003A2131"/>
    <w:rsid w:val="003A4782"/>
    <w:rsid w:val="003A589D"/>
    <w:rsid w:val="003A5C6C"/>
    <w:rsid w:val="003A5F6F"/>
    <w:rsid w:val="003A6E5A"/>
    <w:rsid w:val="003A6E6B"/>
    <w:rsid w:val="003A6F08"/>
    <w:rsid w:val="003A6F66"/>
    <w:rsid w:val="003A765F"/>
    <w:rsid w:val="003A7886"/>
    <w:rsid w:val="003A7B71"/>
    <w:rsid w:val="003A7CA8"/>
    <w:rsid w:val="003A7FBD"/>
    <w:rsid w:val="003B01B5"/>
    <w:rsid w:val="003B022E"/>
    <w:rsid w:val="003B0661"/>
    <w:rsid w:val="003B3863"/>
    <w:rsid w:val="003B3CA9"/>
    <w:rsid w:val="003B42FF"/>
    <w:rsid w:val="003B4A4F"/>
    <w:rsid w:val="003B4CE8"/>
    <w:rsid w:val="003B5779"/>
    <w:rsid w:val="003B5C35"/>
    <w:rsid w:val="003B6BA4"/>
    <w:rsid w:val="003C10BA"/>
    <w:rsid w:val="003C1749"/>
    <w:rsid w:val="003C1A0B"/>
    <w:rsid w:val="003C1CDB"/>
    <w:rsid w:val="003C24B1"/>
    <w:rsid w:val="003C2B30"/>
    <w:rsid w:val="003C3420"/>
    <w:rsid w:val="003C3CCE"/>
    <w:rsid w:val="003C546D"/>
    <w:rsid w:val="003C71F0"/>
    <w:rsid w:val="003D058A"/>
    <w:rsid w:val="003D13DB"/>
    <w:rsid w:val="003D1787"/>
    <w:rsid w:val="003D197F"/>
    <w:rsid w:val="003D1E7A"/>
    <w:rsid w:val="003D1EA8"/>
    <w:rsid w:val="003D1ECB"/>
    <w:rsid w:val="003D235F"/>
    <w:rsid w:val="003D3073"/>
    <w:rsid w:val="003D3605"/>
    <w:rsid w:val="003D3B08"/>
    <w:rsid w:val="003D4E33"/>
    <w:rsid w:val="003D5354"/>
    <w:rsid w:val="003D567A"/>
    <w:rsid w:val="003D5EDA"/>
    <w:rsid w:val="003D6132"/>
    <w:rsid w:val="003D6283"/>
    <w:rsid w:val="003D6A65"/>
    <w:rsid w:val="003D6AA4"/>
    <w:rsid w:val="003E037D"/>
    <w:rsid w:val="003E03A6"/>
    <w:rsid w:val="003E05BB"/>
    <w:rsid w:val="003E28F5"/>
    <w:rsid w:val="003E38B2"/>
    <w:rsid w:val="003E4E9A"/>
    <w:rsid w:val="003E4FD8"/>
    <w:rsid w:val="003E50A5"/>
    <w:rsid w:val="003E5A87"/>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BEB"/>
    <w:rsid w:val="004131FF"/>
    <w:rsid w:val="00413784"/>
    <w:rsid w:val="00413B4E"/>
    <w:rsid w:val="00413FA9"/>
    <w:rsid w:val="00414319"/>
    <w:rsid w:val="00414E44"/>
    <w:rsid w:val="00415128"/>
    <w:rsid w:val="0041623C"/>
    <w:rsid w:val="00416522"/>
    <w:rsid w:val="00416886"/>
    <w:rsid w:val="00416CBB"/>
    <w:rsid w:val="004202AE"/>
    <w:rsid w:val="0042262B"/>
    <w:rsid w:val="0042362B"/>
    <w:rsid w:val="00423650"/>
    <w:rsid w:val="004239D7"/>
    <w:rsid w:val="00423A8F"/>
    <w:rsid w:val="0042510B"/>
    <w:rsid w:val="0042605E"/>
    <w:rsid w:val="00426C1A"/>
    <w:rsid w:val="00426E7F"/>
    <w:rsid w:val="004270BD"/>
    <w:rsid w:val="004274DF"/>
    <w:rsid w:val="00430DB6"/>
    <w:rsid w:val="004319C9"/>
    <w:rsid w:val="004320B8"/>
    <w:rsid w:val="00432CFD"/>
    <w:rsid w:val="00432D71"/>
    <w:rsid w:val="00433969"/>
    <w:rsid w:val="0043400D"/>
    <w:rsid w:val="00434125"/>
    <w:rsid w:val="004349FB"/>
    <w:rsid w:val="00434E0B"/>
    <w:rsid w:val="00434E39"/>
    <w:rsid w:val="00435C5F"/>
    <w:rsid w:val="00437543"/>
    <w:rsid w:val="00440209"/>
    <w:rsid w:val="00440A86"/>
    <w:rsid w:val="00440B06"/>
    <w:rsid w:val="00441F61"/>
    <w:rsid w:val="004420EE"/>
    <w:rsid w:val="00443431"/>
    <w:rsid w:val="004435C0"/>
    <w:rsid w:val="0044412A"/>
    <w:rsid w:val="00444B7D"/>
    <w:rsid w:val="0044732C"/>
    <w:rsid w:val="00450451"/>
    <w:rsid w:val="004516BC"/>
    <w:rsid w:val="0045182B"/>
    <w:rsid w:val="00452506"/>
    <w:rsid w:val="00452C19"/>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25DD"/>
    <w:rsid w:val="00473C89"/>
    <w:rsid w:val="00473F7F"/>
    <w:rsid w:val="004759BC"/>
    <w:rsid w:val="00476EE5"/>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1215"/>
    <w:rsid w:val="00491261"/>
    <w:rsid w:val="0049220D"/>
    <w:rsid w:val="00492D03"/>
    <w:rsid w:val="004938F2"/>
    <w:rsid w:val="00494AF8"/>
    <w:rsid w:val="00495074"/>
    <w:rsid w:val="004951CD"/>
    <w:rsid w:val="004958FA"/>
    <w:rsid w:val="00497B1E"/>
    <w:rsid w:val="004A02BE"/>
    <w:rsid w:val="004A1952"/>
    <w:rsid w:val="004A1D1B"/>
    <w:rsid w:val="004A294B"/>
    <w:rsid w:val="004A3D07"/>
    <w:rsid w:val="004A4AAB"/>
    <w:rsid w:val="004A5493"/>
    <w:rsid w:val="004A5946"/>
    <w:rsid w:val="004A6B3D"/>
    <w:rsid w:val="004A6D14"/>
    <w:rsid w:val="004A6D22"/>
    <w:rsid w:val="004A6DF1"/>
    <w:rsid w:val="004A78D1"/>
    <w:rsid w:val="004A7EAE"/>
    <w:rsid w:val="004A7F1A"/>
    <w:rsid w:val="004B0421"/>
    <w:rsid w:val="004B0E9B"/>
    <w:rsid w:val="004B1645"/>
    <w:rsid w:val="004B186B"/>
    <w:rsid w:val="004B1AB0"/>
    <w:rsid w:val="004B2057"/>
    <w:rsid w:val="004B5B57"/>
    <w:rsid w:val="004B682A"/>
    <w:rsid w:val="004B71A7"/>
    <w:rsid w:val="004B79A1"/>
    <w:rsid w:val="004B7B48"/>
    <w:rsid w:val="004B7E83"/>
    <w:rsid w:val="004C023D"/>
    <w:rsid w:val="004C07D5"/>
    <w:rsid w:val="004C1594"/>
    <w:rsid w:val="004C17D1"/>
    <w:rsid w:val="004C2242"/>
    <w:rsid w:val="004C3795"/>
    <w:rsid w:val="004C3E79"/>
    <w:rsid w:val="004C4487"/>
    <w:rsid w:val="004C46A9"/>
    <w:rsid w:val="004C6A53"/>
    <w:rsid w:val="004C72EB"/>
    <w:rsid w:val="004C7366"/>
    <w:rsid w:val="004C73C7"/>
    <w:rsid w:val="004C7954"/>
    <w:rsid w:val="004C7D1E"/>
    <w:rsid w:val="004C7F66"/>
    <w:rsid w:val="004D0305"/>
    <w:rsid w:val="004D3580"/>
    <w:rsid w:val="004D36D7"/>
    <w:rsid w:val="004D4763"/>
    <w:rsid w:val="004D4B04"/>
    <w:rsid w:val="004D5764"/>
    <w:rsid w:val="004D682E"/>
    <w:rsid w:val="004D69D6"/>
    <w:rsid w:val="004D6B59"/>
    <w:rsid w:val="004D6B69"/>
    <w:rsid w:val="004D6BDB"/>
    <w:rsid w:val="004D7686"/>
    <w:rsid w:val="004D793A"/>
    <w:rsid w:val="004D7B4D"/>
    <w:rsid w:val="004E0E15"/>
    <w:rsid w:val="004E10BB"/>
    <w:rsid w:val="004E1636"/>
    <w:rsid w:val="004E1757"/>
    <w:rsid w:val="004E1D1C"/>
    <w:rsid w:val="004E2448"/>
    <w:rsid w:val="004E2FA4"/>
    <w:rsid w:val="004E4B09"/>
    <w:rsid w:val="004E50E6"/>
    <w:rsid w:val="004E5344"/>
    <w:rsid w:val="004E6BAD"/>
    <w:rsid w:val="004E6E02"/>
    <w:rsid w:val="004E6E66"/>
    <w:rsid w:val="004F012F"/>
    <w:rsid w:val="004F0140"/>
    <w:rsid w:val="004F1252"/>
    <w:rsid w:val="004F1759"/>
    <w:rsid w:val="004F1C7F"/>
    <w:rsid w:val="004F1F9B"/>
    <w:rsid w:val="004F2E45"/>
    <w:rsid w:val="004F3324"/>
    <w:rsid w:val="004F3D9A"/>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85A"/>
    <w:rsid w:val="00526CA1"/>
    <w:rsid w:val="0052711F"/>
    <w:rsid w:val="00527412"/>
    <w:rsid w:val="00527429"/>
    <w:rsid w:val="00530137"/>
    <w:rsid w:val="00530333"/>
    <w:rsid w:val="00530390"/>
    <w:rsid w:val="0053043B"/>
    <w:rsid w:val="00531BFA"/>
    <w:rsid w:val="00531E96"/>
    <w:rsid w:val="005327E3"/>
    <w:rsid w:val="00532B8C"/>
    <w:rsid w:val="0053334F"/>
    <w:rsid w:val="00533E3D"/>
    <w:rsid w:val="00534ED8"/>
    <w:rsid w:val="005356C4"/>
    <w:rsid w:val="00536032"/>
    <w:rsid w:val="005360D6"/>
    <w:rsid w:val="00536823"/>
    <w:rsid w:val="00536FC8"/>
    <w:rsid w:val="005407AE"/>
    <w:rsid w:val="00540914"/>
    <w:rsid w:val="00542AE2"/>
    <w:rsid w:val="00542D48"/>
    <w:rsid w:val="00543602"/>
    <w:rsid w:val="00543A06"/>
    <w:rsid w:val="00543F50"/>
    <w:rsid w:val="00544A42"/>
    <w:rsid w:val="005450FE"/>
    <w:rsid w:val="005454E1"/>
    <w:rsid w:val="00546404"/>
    <w:rsid w:val="00546549"/>
    <w:rsid w:val="0055063F"/>
    <w:rsid w:val="00551D8C"/>
    <w:rsid w:val="00552CBB"/>
    <w:rsid w:val="00552CD9"/>
    <w:rsid w:val="00553507"/>
    <w:rsid w:val="005538D6"/>
    <w:rsid w:val="00553E93"/>
    <w:rsid w:val="00554D9F"/>
    <w:rsid w:val="00555478"/>
    <w:rsid w:val="00555E3D"/>
    <w:rsid w:val="00556705"/>
    <w:rsid w:val="00556F6A"/>
    <w:rsid w:val="005578C7"/>
    <w:rsid w:val="0055790E"/>
    <w:rsid w:val="00557E36"/>
    <w:rsid w:val="00560146"/>
    <w:rsid w:val="00560489"/>
    <w:rsid w:val="005607C4"/>
    <w:rsid w:val="00562863"/>
    <w:rsid w:val="00562DDE"/>
    <w:rsid w:val="00563374"/>
    <w:rsid w:val="005636B8"/>
    <w:rsid w:val="005659B5"/>
    <w:rsid w:val="00565D2F"/>
    <w:rsid w:val="00565EBC"/>
    <w:rsid w:val="0056619B"/>
    <w:rsid w:val="00566380"/>
    <w:rsid w:val="005663FE"/>
    <w:rsid w:val="00566FED"/>
    <w:rsid w:val="005676E0"/>
    <w:rsid w:val="00570335"/>
    <w:rsid w:val="00570736"/>
    <w:rsid w:val="00570FDF"/>
    <w:rsid w:val="00571ED2"/>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AA8"/>
    <w:rsid w:val="0058640B"/>
    <w:rsid w:val="0058694C"/>
    <w:rsid w:val="00590CB9"/>
    <w:rsid w:val="005915D2"/>
    <w:rsid w:val="00593195"/>
    <w:rsid w:val="00593E2E"/>
    <w:rsid w:val="00594072"/>
    <w:rsid w:val="005956EE"/>
    <w:rsid w:val="00595B34"/>
    <w:rsid w:val="00595E71"/>
    <w:rsid w:val="00596AEC"/>
    <w:rsid w:val="005975C4"/>
    <w:rsid w:val="00597AB0"/>
    <w:rsid w:val="005A152C"/>
    <w:rsid w:val="005A19E1"/>
    <w:rsid w:val="005A1A39"/>
    <w:rsid w:val="005A1D89"/>
    <w:rsid w:val="005A204F"/>
    <w:rsid w:val="005A2348"/>
    <w:rsid w:val="005A258D"/>
    <w:rsid w:val="005A2684"/>
    <w:rsid w:val="005A2B1D"/>
    <w:rsid w:val="005A2B67"/>
    <w:rsid w:val="005A2C1C"/>
    <w:rsid w:val="005A2ED9"/>
    <w:rsid w:val="005A39AF"/>
    <w:rsid w:val="005A3B80"/>
    <w:rsid w:val="005A40C0"/>
    <w:rsid w:val="005A4178"/>
    <w:rsid w:val="005A46E9"/>
    <w:rsid w:val="005A4DBF"/>
    <w:rsid w:val="005A5CDC"/>
    <w:rsid w:val="005A5D93"/>
    <w:rsid w:val="005A5F2E"/>
    <w:rsid w:val="005A6602"/>
    <w:rsid w:val="005A6983"/>
    <w:rsid w:val="005A6D14"/>
    <w:rsid w:val="005A7449"/>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B7D83"/>
    <w:rsid w:val="005C007D"/>
    <w:rsid w:val="005C27D2"/>
    <w:rsid w:val="005C2874"/>
    <w:rsid w:val="005C2B5A"/>
    <w:rsid w:val="005C2DA9"/>
    <w:rsid w:val="005C3384"/>
    <w:rsid w:val="005C429C"/>
    <w:rsid w:val="005C4DF0"/>
    <w:rsid w:val="005C4EBC"/>
    <w:rsid w:val="005C590F"/>
    <w:rsid w:val="005C6174"/>
    <w:rsid w:val="005C7443"/>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2B41"/>
    <w:rsid w:val="005E4074"/>
    <w:rsid w:val="005E4C33"/>
    <w:rsid w:val="005E636C"/>
    <w:rsid w:val="005E6BE5"/>
    <w:rsid w:val="005F0BC8"/>
    <w:rsid w:val="005F0BF8"/>
    <w:rsid w:val="005F115C"/>
    <w:rsid w:val="005F2A41"/>
    <w:rsid w:val="005F3207"/>
    <w:rsid w:val="005F3C60"/>
    <w:rsid w:val="005F6311"/>
    <w:rsid w:val="005F68ED"/>
    <w:rsid w:val="005F6F21"/>
    <w:rsid w:val="005F7784"/>
    <w:rsid w:val="005F7B0B"/>
    <w:rsid w:val="00600901"/>
    <w:rsid w:val="00601B1D"/>
    <w:rsid w:val="00601D41"/>
    <w:rsid w:val="00602DF3"/>
    <w:rsid w:val="00602F41"/>
    <w:rsid w:val="00603703"/>
    <w:rsid w:val="006049DA"/>
    <w:rsid w:val="0060546D"/>
    <w:rsid w:val="00605591"/>
    <w:rsid w:val="00605D48"/>
    <w:rsid w:val="00605D4F"/>
    <w:rsid w:val="00605E71"/>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558"/>
    <w:rsid w:val="006216DC"/>
    <w:rsid w:val="00622CD1"/>
    <w:rsid w:val="006237E6"/>
    <w:rsid w:val="00624F27"/>
    <w:rsid w:val="00626674"/>
    <w:rsid w:val="00626AF5"/>
    <w:rsid w:val="00627153"/>
    <w:rsid w:val="006276AD"/>
    <w:rsid w:val="00630134"/>
    <w:rsid w:val="00630470"/>
    <w:rsid w:val="0063056F"/>
    <w:rsid w:val="00630C14"/>
    <w:rsid w:val="00631BB9"/>
    <w:rsid w:val="00631F26"/>
    <w:rsid w:val="00631F85"/>
    <w:rsid w:val="00632051"/>
    <w:rsid w:val="00632C38"/>
    <w:rsid w:val="00634246"/>
    <w:rsid w:val="00634F01"/>
    <w:rsid w:val="00635E7F"/>
    <w:rsid w:val="00636C9B"/>
    <w:rsid w:val="00637316"/>
    <w:rsid w:val="006375C0"/>
    <w:rsid w:val="00637866"/>
    <w:rsid w:val="00640387"/>
    <w:rsid w:val="006403EF"/>
    <w:rsid w:val="006423C7"/>
    <w:rsid w:val="00642F7A"/>
    <w:rsid w:val="00643DD0"/>
    <w:rsid w:val="0064531C"/>
    <w:rsid w:val="00645768"/>
    <w:rsid w:val="00645794"/>
    <w:rsid w:val="00645D1E"/>
    <w:rsid w:val="0065024D"/>
    <w:rsid w:val="00650894"/>
    <w:rsid w:val="006510EF"/>
    <w:rsid w:val="00651EFB"/>
    <w:rsid w:val="00652021"/>
    <w:rsid w:val="00652FDC"/>
    <w:rsid w:val="0065366E"/>
    <w:rsid w:val="00655A7A"/>
    <w:rsid w:val="00655D90"/>
    <w:rsid w:val="00655EA0"/>
    <w:rsid w:val="006562B1"/>
    <w:rsid w:val="00656B07"/>
    <w:rsid w:val="00656DB4"/>
    <w:rsid w:val="00660CA0"/>
    <w:rsid w:val="00661424"/>
    <w:rsid w:val="006615F1"/>
    <w:rsid w:val="0066167F"/>
    <w:rsid w:val="00662234"/>
    <w:rsid w:val="0066235B"/>
    <w:rsid w:val="006625FE"/>
    <w:rsid w:val="00662828"/>
    <w:rsid w:val="006630B4"/>
    <w:rsid w:val="00664B4B"/>
    <w:rsid w:val="006655E9"/>
    <w:rsid w:val="006655F2"/>
    <w:rsid w:val="00665E63"/>
    <w:rsid w:val="006672DE"/>
    <w:rsid w:val="006676EE"/>
    <w:rsid w:val="006679C2"/>
    <w:rsid w:val="00667FB4"/>
    <w:rsid w:val="00670246"/>
    <w:rsid w:val="00670928"/>
    <w:rsid w:val="00672093"/>
    <w:rsid w:val="0067269C"/>
    <w:rsid w:val="006729B6"/>
    <w:rsid w:val="00672A73"/>
    <w:rsid w:val="0067388C"/>
    <w:rsid w:val="0067570E"/>
    <w:rsid w:val="00675976"/>
    <w:rsid w:val="00675A05"/>
    <w:rsid w:val="00675A09"/>
    <w:rsid w:val="00675AEB"/>
    <w:rsid w:val="0067603C"/>
    <w:rsid w:val="00676341"/>
    <w:rsid w:val="00676F12"/>
    <w:rsid w:val="006807EC"/>
    <w:rsid w:val="00681895"/>
    <w:rsid w:val="0068189D"/>
    <w:rsid w:val="00682082"/>
    <w:rsid w:val="0068332E"/>
    <w:rsid w:val="00683527"/>
    <w:rsid w:val="006842CB"/>
    <w:rsid w:val="006843B4"/>
    <w:rsid w:val="006846FD"/>
    <w:rsid w:val="00684849"/>
    <w:rsid w:val="006860E4"/>
    <w:rsid w:val="006870E3"/>
    <w:rsid w:val="0068711A"/>
    <w:rsid w:val="00690BCE"/>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BA6"/>
    <w:rsid w:val="006A1FF8"/>
    <w:rsid w:val="006A25F1"/>
    <w:rsid w:val="006A34AE"/>
    <w:rsid w:val="006A3596"/>
    <w:rsid w:val="006A3888"/>
    <w:rsid w:val="006A5CBB"/>
    <w:rsid w:val="006A6972"/>
    <w:rsid w:val="006A6C81"/>
    <w:rsid w:val="006A7EE2"/>
    <w:rsid w:val="006B207A"/>
    <w:rsid w:val="006B27D8"/>
    <w:rsid w:val="006B2B2B"/>
    <w:rsid w:val="006B2C05"/>
    <w:rsid w:val="006B333B"/>
    <w:rsid w:val="006B3599"/>
    <w:rsid w:val="006B38A5"/>
    <w:rsid w:val="006B49FC"/>
    <w:rsid w:val="006B5F59"/>
    <w:rsid w:val="006B701E"/>
    <w:rsid w:val="006B7324"/>
    <w:rsid w:val="006C02F2"/>
    <w:rsid w:val="006C2016"/>
    <w:rsid w:val="006C20AF"/>
    <w:rsid w:val="006C2AB1"/>
    <w:rsid w:val="006C2F09"/>
    <w:rsid w:val="006C3CB6"/>
    <w:rsid w:val="006C4063"/>
    <w:rsid w:val="006C4870"/>
    <w:rsid w:val="006C57D3"/>
    <w:rsid w:val="006C6054"/>
    <w:rsid w:val="006C671D"/>
    <w:rsid w:val="006C6939"/>
    <w:rsid w:val="006D0105"/>
    <w:rsid w:val="006D015D"/>
    <w:rsid w:val="006D09BC"/>
    <w:rsid w:val="006D0C9D"/>
    <w:rsid w:val="006D1238"/>
    <w:rsid w:val="006D1665"/>
    <w:rsid w:val="006D291F"/>
    <w:rsid w:val="006D3883"/>
    <w:rsid w:val="006D3C01"/>
    <w:rsid w:val="006D4317"/>
    <w:rsid w:val="006D46ED"/>
    <w:rsid w:val="006D4B39"/>
    <w:rsid w:val="006D51A2"/>
    <w:rsid w:val="006D5859"/>
    <w:rsid w:val="006D5CB2"/>
    <w:rsid w:val="006D64B5"/>
    <w:rsid w:val="006D7C6A"/>
    <w:rsid w:val="006D7CC5"/>
    <w:rsid w:val="006E07DA"/>
    <w:rsid w:val="006E0883"/>
    <w:rsid w:val="006E1486"/>
    <w:rsid w:val="006E15DE"/>
    <w:rsid w:val="006E22D6"/>
    <w:rsid w:val="006E351B"/>
    <w:rsid w:val="006E3F1F"/>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58D"/>
    <w:rsid w:val="00700689"/>
    <w:rsid w:val="00701171"/>
    <w:rsid w:val="00701347"/>
    <w:rsid w:val="00701365"/>
    <w:rsid w:val="0070141D"/>
    <w:rsid w:val="007018AC"/>
    <w:rsid w:val="00701925"/>
    <w:rsid w:val="007023D1"/>
    <w:rsid w:val="00702F7F"/>
    <w:rsid w:val="00703466"/>
    <w:rsid w:val="00704771"/>
    <w:rsid w:val="00705161"/>
    <w:rsid w:val="00705544"/>
    <w:rsid w:val="00705701"/>
    <w:rsid w:val="00705842"/>
    <w:rsid w:val="00706795"/>
    <w:rsid w:val="00706CB3"/>
    <w:rsid w:val="00706D02"/>
    <w:rsid w:val="007074AD"/>
    <w:rsid w:val="00707672"/>
    <w:rsid w:val="00707838"/>
    <w:rsid w:val="0071019B"/>
    <w:rsid w:val="007101FC"/>
    <w:rsid w:val="00710957"/>
    <w:rsid w:val="00711A83"/>
    <w:rsid w:val="00712674"/>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73E7"/>
    <w:rsid w:val="00727C1F"/>
    <w:rsid w:val="00727F7A"/>
    <w:rsid w:val="007311E5"/>
    <w:rsid w:val="00731888"/>
    <w:rsid w:val="00731D10"/>
    <w:rsid w:val="00732BA3"/>
    <w:rsid w:val="00732DCA"/>
    <w:rsid w:val="007334AA"/>
    <w:rsid w:val="0073593E"/>
    <w:rsid w:val="0073656A"/>
    <w:rsid w:val="00737504"/>
    <w:rsid w:val="007378C2"/>
    <w:rsid w:val="00737D3C"/>
    <w:rsid w:val="00737E0A"/>
    <w:rsid w:val="00740771"/>
    <w:rsid w:val="007419A6"/>
    <w:rsid w:val="00742F33"/>
    <w:rsid w:val="00743954"/>
    <w:rsid w:val="00744062"/>
    <w:rsid w:val="00745589"/>
    <w:rsid w:val="00746B67"/>
    <w:rsid w:val="0074771A"/>
    <w:rsid w:val="00750584"/>
    <w:rsid w:val="007509F3"/>
    <w:rsid w:val="00750A07"/>
    <w:rsid w:val="00750B33"/>
    <w:rsid w:val="00751E4F"/>
    <w:rsid w:val="00751FA9"/>
    <w:rsid w:val="0075200D"/>
    <w:rsid w:val="00753408"/>
    <w:rsid w:val="00754154"/>
    <w:rsid w:val="00754C8C"/>
    <w:rsid w:val="00754EA7"/>
    <w:rsid w:val="007550AE"/>
    <w:rsid w:val="0075546E"/>
    <w:rsid w:val="00755702"/>
    <w:rsid w:val="00755A80"/>
    <w:rsid w:val="00755BCF"/>
    <w:rsid w:val="00756584"/>
    <w:rsid w:val="00756951"/>
    <w:rsid w:val="007573DD"/>
    <w:rsid w:val="00760474"/>
    <w:rsid w:val="00760679"/>
    <w:rsid w:val="00760A0D"/>
    <w:rsid w:val="0076115C"/>
    <w:rsid w:val="00761DF3"/>
    <w:rsid w:val="00762D74"/>
    <w:rsid w:val="00763739"/>
    <w:rsid w:val="00764140"/>
    <w:rsid w:val="00764726"/>
    <w:rsid w:val="007671CD"/>
    <w:rsid w:val="00770524"/>
    <w:rsid w:val="0077128C"/>
    <w:rsid w:val="00772009"/>
    <w:rsid w:val="007729C4"/>
    <w:rsid w:val="00772C3B"/>
    <w:rsid w:val="0077393F"/>
    <w:rsid w:val="00775421"/>
    <w:rsid w:val="00780124"/>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000"/>
    <w:rsid w:val="0079358A"/>
    <w:rsid w:val="00794B13"/>
    <w:rsid w:val="0079508D"/>
    <w:rsid w:val="00795225"/>
    <w:rsid w:val="00795249"/>
    <w:rsid w:val="007953E6"/>
    <w:rsid w:val="007957C6"/>
    <w:rsid w:val="0079592C"/>
    <w:rsid w:val="007961CC"/>
    <w:rsid w:val="00796365"/>
    <w:rsid w:val="007965E2"/>
    <w:rsid w:val="00797EAD"/>
    <w:rsid w:val="007A0C72"/>
    <w:rsid w:val="007A10AD"/>
    <w:rsid w:val="007A135B"/>
    <w:rsid w:val="007A1BD8"/>
    <w:rsid w:val="007A1DF8"/>
    <w:rsid w:val="007A1EC6"/>
    <w:rsid w:val="007A29E0"/>
    <w:rsid w:val="007A3098"/>
    <w:rsid w:val="007A33A7"/>
    <w:rsid w:val="007A3603"/>
    <w:rsid w:val="007A3648"/>
    <w:rsid w:val="007A4057"/>
    <w:rsid w:val="007A4A85"/>
    <w:rsid w:val="007A4CA9"/>
    <w:rsid w:val="007A4F68"/>
    <w:rsid w:val="007B092C"/>
    <w:rsid w:val="007B233B"/>
    <w:rsid w:val="007B2642"/>
    <w:rsid w:val="007B2E1F"/>
    <w:rsid w:val="007B341B"/>
    <w:rsid w:val="007B3AAD"/>
    <w:rsid w:val="007B4334"/>
    <w:rsid w:val="007B4483"/>
    <w:rsid w:val="007B4E98"/>
    <w:rsid w:val="007B532B"/>
    <w:rsid w:val="007B53F9"/>
    <w:rsid w:val="007B66E3"/>
    <w:rsid w:val="007B6FE7"/>
    <w:rsid w:val="007B76D6"/>
    <w:rsid w:val="007B7B1B"/>
    <w:rsid w:val="007B7EBF"/>
    <w:rsid w:val="007C0C01"/>
    <w:rsid w:val="007C1323"/>
    <w:rsid w:val="007C1A64"/>
    <w:rsid w:val="007C228F"/>
    <w:rsid w:val="007C32EF"/>
    <w:rsid w:val="007C3EA1"/>
    <w:rsid w:val="007C45BA"/>
    <w:rsid w:val="007C575D"/>
    <w:rsid w:val="007C5DA0"/>
    <w:rsid w:val="007C64ED"/>
    <w:rsid w:val="007C6EA4"/>
    <w:rsid w:val="007C7099"/>
    <w:rsid w:val="007C7178"/>
    <w:rsid w:val="007C7457"/>
    <w:rsid w:val="007C76FF"/>
    <w:rsid w:val="007C7DE1"/>
    <w:rsid w:val="007D012C"/>
    <w:rsid w:val="007D07A4"/>
    <w:rsid w:val="007D111A"/>
    <w:rsid w:val="007D1D51"/>
    <w:rsid w:val="007D272F"/>
    <w:rsid w:val="007D3505"/>
    <w:rsid w:val="007D3DD3"/>
    <w:rsid w:val="007D4337"/>
    <w:rsid w:val="007D434D"/>
    <w:rsid w:val="007D4445"/>
    <w:rsid w:val="007D513F"/>
    <w:rsid w:val="007D53CA"/>
    <w:rsid w:val="007D5A74"/>
    <w:rsid w:val="007D649E"/>
    <w:rsid w:val="007D66EA"/>
    <w:rsid w:val="007D67DF"/>
    <w:rsid w:val="007D6EA3"/>
    <w:rsid w:val="007D7C2D"/>
    <w:rsid w:val="007E00E2"/>
    <w:rsid w:val="007E027F"/>
    <w:rsid w:val="007E0759"/>
    <w:rsid w:val="007E23CE"/>
    <w:rsid w:val="007E3D1E"/>
    <w:rsid w:val="007E51CB"/>
    <w:rsid w:val="007E522B"/>
    <w:rsid w:val="007E57E7"/>
    <w:rsid w:val="007E5C04"/>
    <w:rsid w:val="007E609E"/>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6B"/>
    <w:rsid w:val="00801FA6"/>
    <w:rsid w:val="00802005"/>
    <w:rsid w:val="00802AAA"/>
    <w:rsid w:val="00802DA4"/>
    <w:rsid w:val="00803D48"/>
    <w:rsid w:val="00804159"/>
    <w:rsid w:val="00804382"/>
    <w:rsid w:val="00805938"/>
    <w:rsid w:val="00805FF7"/>
    <w:rsid w:val="00806252"/>
    <w:rsid w:val="0080686B"/>
    <w:rsid w:val="00806A10"/>
    <w:rsid w:val="008076EB"/>
    <w:rsid w:val="0081050E"/>
    <w:rsid w:val="008107E2"/>
    <w:rsid w:val="0081223C"/>
    <w:rsid w:val="0081282E"/>
    <w:rsid w:val="00812A99"/>
    <w:rsid w:val="0081331E"/>
    <w:rsid w:val="00813B1A"/>
    <w:rsid w:val="00814A5C"/>
    <w:rsid w:val="00815115"/>
    <w:rsid w:val="00815324"/>
    <w:rsid w:val="00816828"/>
    <w:rsid w:val="008171DF"/>
    <w:rsid w:val="0082123E"/>
    <w:rsid w:val="008217C0"/>
    <w:rsid w:val="00822486"/>
    <w:rsid w:val="008229C1"/>
    <w:rsid w:val="0082320F"/>
    <w:rsid w:val="00823CEA"/>
    <w:rsid w:val="00823D52"/>
    <w:rsid w:val="0082467F"/>
    <w:rsid w:val="00824793"/>
    <w:rsid w:val="00824B2C"/>
    <w:rsid w:val="00825B5F"/>
    <w:rsid w:val="00825FE7"/>
    <w:rsid w:val="0082722C"/>
    <w:rsid w:val="0082776C"/>
    <w:rsid w:val="00831C85"/>
    <w:rsid w:val="00833E4E"/>
    <w:rsid w:val="008351FC"/>
    <w:rsid w:val="00835490"/>
    <w:rsid w:val="00836009"/>
    <w:rsid w:val="008368D6"/>
    <w:rsid w:val="00837CE0"/>
    <w:rsid w:val="00840071"/>
    <w:rsid w:val="008400A6"/>
    <w:rsid w:val="008404D2"/>
    <w:rsid w:val="0084058B"/>
    <w:rsid w:val="00840CCA"/>
    <w:rsid w:val="008411B7"/>
    <w:rsid w:val="0084158E"/>
    <w:rsid w:val="00841C1A"/>
    <w:rsid w:val="008422BD"/>
    <w:rsid w:val="00842608"/>
    <w:rsid w:val="0084263D"/>
    <w:rsid w:val="00842B1E"/>
    <w:rsid w:val="00842BF2"/>
    <w:rsid w:val="00842CC9"/>
    <w:rsid w:val="00843C2C"/>
    <w:rsid w:val="0084446E"/>
    <w:rsid w:val="00845914"/>
    <w:rsid w:val="00846BDF"/>
    <w:rsid w:val="008470BF"/>
    <w:rsid w:val="008479D2"/>
    <w:rsid w:val="00847CF5"/>
    <w:rsid w:val="00851CBA"/>
    <w:rsid w:val="00852877"/>
    <w:rsid w:val="00852AB8"/>
    <w:rsid w:val="00852ED0"/>
    <w:rsid w:val="00853381"/>
    <w:rsid w:val="00856274"/>
    <w:rsid w:val="008567C5"/>
    <w:rsid w:val="00856BC8"/>
    <w:rsid w:val="00857E27"/>
    <w:rsid w:val="008601FA"/>
    <w:rsid w:val="00860BD1"/>
    <w:rsid w:val="00860E3E"/>
    <w:rsid w:val="00861C54"/>
    <w:rsid w:val="00861DAF"/>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110C"/>
    <w:rsid w:val="0087254F"/>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ABE"/>
    <w:rsid w:val="00887B04"/>
    <w:rsid w:val="00887C86"/>
    <w:rsid w:val="00891838"/>
    <w:rsid w:val="00891FC0"/>
    <w:rsid w:val="00892EA3"/>
    <w:rsid w:val="0089456F"/>
    <w:rsid w:val="00894B1E"/>
    <w:rsid w:val="00895814"/>
    <w:rsid w:val="00896343"/>
    <w:rsid w:val="00896C7A"/>
    <w:rsid w:val="00896E88"/>
    <w:rsid w:val="008970B2"/>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2FFB"/>
    <w:rsid w:val="008B3016"/>
    <w:rsid w:val="008B380F"/>
    <w:rsid w:val="008B51C3"/>
    <w:rsid w:val="008B6023"/>
    <w:rsid w:val="008B7AF9"/>
    <w:rsid w:val="008C05E2"/>
    <w:rsid w:val="008C0E5A"/>
    <w:rsid w:val="008C1679"/>
    <w:rsid w:val="008C16CB"/>
    <w:rsid w:val="008C25CE"/>
    <w:rsid w:val="008C377E"/>
    <w:rsid w:val="008D0101"/>
    <w:rsid w:val="008D0232"/>
    <w:rsid w:val="008D11B5"/>
    <w:rsid w:val="008D14E7"/>
    <w:rsid w:val="008D1F56"/>
    <w:rsid w:val="008D3032"/>
    <w:rsid w:val="008D31EA"/>
    <w:rsid w:val="008D38F1"/>
    <w:rsid w:val="008D3E85"/>
    <w:rsid w:val="008D3EBC"/>
    <w:rsid w:val="008D57F8"/>
    <w:rsid w:val="008D6523"/>
    <w:rsid w:val="008D6B7F"/>
    <w:rsid w:val="008D6E76"/>
    <w:rsid w:val="008D6FFD"/>
    <w:rsid w:val="008D7547"/>
    <w:rsid w:val="008E02E5"/>
    <w:rsid w:val="008E0875"/>
    <w:rsid w:val="008E091D"/>
    <w:rsid w:val="008E1029"/>
    <w:rsid w:val="008E191E"/>
    <w:rsid w:val="008E1CCB"/>
    <w:rsid w:val="008E2DF0"/>
    <w:rsid w:val="008E3CA3"/>
    <w:rsid w:val="008E47AD"/>
    <w:rsid w:val="008E4B71"/>
    <w:rsid w:val="008E5420"/>
    <w:rsid w:val="008E5826"/>
    <w:rsid w:val="008E5BFD"/>
    <w:rsid w:val="008E62FC"/>
    <w:rsid w:val="008E6866"/>
    <w:rsid w:val="008E7668"/>
    <w:rsid w:val="008E797D"/>
    <w:rsid w:val="008E7A87"/>
    <w:rsid w:val="008F04C6"/>
    <w:rsid w:val="008F1B4F"/>
    <w:rsid w:val="008F25F0"/>
    <w:rsid w:val="008F450E"/>
    <w:rsid w:val="008F5066"/>
    <w:rsid w:val="008F55A8"/>
    <w:rsid w:val="008F62E3"/>
    <w:rsid w:val="008F6FF9"/>
    <w:rsid w:val="009000AC"/>
    <w:rsid w:val="0090086B"/>
    <w:rsid w:val="009008C5"/>
    <w:rsid w:val="00900D24"/>
    <w:rsid w:val="0090219E"/>
    <w:rsid w:val="009045CB"/>
    <w:rsid w:val="00904F53"/>
    <w:rsid w:val="00905834"/>
    <w:rsid w:val="009059FA"/>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F29"/>
    <w:rsid w:val="00925227"/>
    <w:rsid w:val="0092539E"/>
    <w:rsid w:val="00925E25"/>
    <w:rsid w:val="009267A7"/>
    <w:rsid w:val="00926A74"/>
    <w:rsid w:val="00926B1D"/>
    <w:rsid w:val="00926B42"/>
    <w:rsid w:val="0092799E"/>
    <w:rsid w:val="00927B70"/>
    <w:rsid w:val="00930133"/>
    <w:rsid w:val="0093199C"/>
    <w:rsid w:val="00932DB0"/>
    <w:rsid w:val="009345C1"/>
    <w:rsid w:val="00934EF4"/>
    <w:rsid w:val="00935D56"/>
    <w:rsid w:val="00936699"/>
    <w:rsid w:val="00936BB6"/>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6D9"/>
    <w:rsid w:val="009552DE"/>
    <w:rsid w:val="00955517"/>
    <w:rsid w:val="00955AF4"/>
    <w:rsid w:val="00955C1E"/>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85"/>
    <w:rsid w:val="00974EA4"/>
    <w:rsid w:val="00975700"/>
    <w:rsid w:val="009760A5"/>
    <w:rsid w:val="00976395"/>
    <w:rsid w:val="00977226"/>
    <w:rsid w:val="00980CEC"/>
    <w:rsid w:val="00980DE3"/>
    <w:rsid w:val="00981426"/>
    <w:rsid w:val="00982E98"/>
    <w:rsid w:val="0098357B"/>
    <w:rsid w:val="00983756"/>
    <w:rsid w:val="00983ED1"/>
    <w:rsid w:val="009841E3"/>
    <w:rsid w:val="009858A6"/>
    <w:rsid w:val="00985B41"/>
    <w:rsid w:val="00985E0D"/>
    <w:rsid w:val="00986736"/>
    <w:rsid w:val="00987A8A"/>
    <w:rsid w:val="00987FD2"/>
    <w:rsid w:val="00990BD7"/>
    <w:rsid w:val="00991118"/>
    <w:rsid w:val="0099160C"/>
    <w:rsid w:val="00991C2E"/>
    <w:rsid w:val="0099299F"/>
    <w:rsid w:val="00992C0B"/>
    <w:rsid w:val="00993A70"/>
    <w:rsid w:val="009940CD"/>
    <w:rsid w:val="009946BF"/>
    <w:rsid w:val="009961FF"/>
    <w:rsid w:val="00997538"/>
    <w:rsid w:val="009A0CA6"/>
    <w:rsid w:val="009A0FAB"/>
    <w:rsid w:val="009A1A67"/>
    <w:rsid w:val="009A2314"/>
    <w:rsid w:val="009A2A3B"/>
    <w:rsid w:val="009A2DAD"/>
    <w:rsid w:val="009A315F"/>
    <w:rsid w:val="009A55B4"/>
    <w:rsid w:val="009A6444"/>
    <w:rsid w:val="009A7378"/>
    <w:rsid w:val="009A79B7"/>
    <w:rsid w:val="009B1669"/>
    <w:rsid w:val="009B28B3"/>
    <w:rsid w:val="009B2E2D"/>
    <w:rsid w:val="009B321E"/>
    <w:rsid w:val="009B3A60"/>
    <w:rsid w:val="009B4824"/>
    <w:rsid w:val="009B51E0"/>
    <w:rsid w:val="009B529F"/>
    <w:rsid w:val="009B5577"/>
    <w:rsid w:val="009B5F10"/>
    <w:rsid w:val="009B649F"/>
    <w:rsid w:val="009B6692"/>
    <w:rsid w:val="009B675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8A2"/>
    <w:rsid w:val="009D5AEC"/>
    <w:rsid w:val="009D60DC"/>
    <w:rsid w:val="009D685C"/>
    <w:rsid w:val="009E0304"/>
    <w:rsid w:val="009E0A18"/>
    <w:rsid w:val="009E0C0D"/>
    <w:rsid w:val="009E1250"/>
    <w:rsid w:val="009E15BE"/>
    <w:rsid w:val="009E1F5C"/>
    <w:rsid w:val="009E3A8E"/>
    <w:rsid w:val="009E42D9"/>
    <w:rsid w:val="009E45F4"/>
    <w:rsid w:val="009E4F35"/>
    <w:rsid w:val="009E5BDB"/>
    <w:rsid w:val="009E67C8"/>
    <w:rsid w:val="009E6909"/>
    <w:rsid w:val="009E77BC"/>
    <w:rsid w:val="009E7C61"/>
    <w:rsid w:val="009F00C5"/>
    <w:rsid w:val="009F0539"/>
    <w:rsid w:val="009F0FCD"/>
    <w:rsid w:val="009F10F2"/>
    <w:rsid w:val="009F2493"/>
    <w:rsid w:val="009F26B9"/>
    <w:rsid w:val="009F33D2"/>
    <w:rsid w:val="009F367E"/>
    <w:rsid w:val="009F4D26"/>
    <w:rsid w:val="009F53E5"/>
    <w:rsid w:val="009F62C6"/>
    <w:rsid w:val="009F631E"/>
    <w:rsid w:val="009F7454"/>
    <w:rsid w:val="009F7590"/>
    <w:rsid w:val="00A0056B"/>
    <w:rsid w:val="00A00A5B"/>
    <w:rsid w:val="00A00A92"/>
    <w:rsid w:val="00A01135"/>
    <w:rsid w:val="00A019D8"/>
    <w:rsid w:val="00A01CBF"/>
    <w:rsid w:val="00A01EEF"/>
    <w:rsid w:val="00A02ADD"/>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F64"/>
    <w:rsid w:val="00A246D9"/>
    <w:rsid w:val="00A24E94"/>
    <w:rsid w:val="00A25A8C"/>
    <w:rsid w:val="00A25BD8"/>
    <w:rsid w:val="00A26071"/>
    <w:rsid w:val="00A26534"/>
    <w:rsid w:val="00A26BEC"/>
    <w:rsid w:val="00A272D1"/>
    <w:rsid w:val="00A305DB"/>
    <w:rsid w:val="00A306D3"/>
    <w:rsid w:val="00A30CA2"/>
    <w:rsid w:val="00A3102D"/>
    <w:rsid w:val="00A311C6"/>
    <w:rsid w:val="00A3156B"/>
    <w:rsid w:val="00A31887"/>
    <w:rsid w:val="00A31D78"/>
    <w:rsid w:val="00A327C3"/>
    <w:rsid w:val="00A3320B"/>
    <w:rsid w:val="00A346E3"/>
    <w:rsid w:val="00A3718B"/>
    <w:rsid w:val="00A3732A"/>
    <w:rsid w:val="00A40684"/>
    <w:rsid w:val="00A40BC3"/>
    <w:rsid w:val="00A41944"/>
    <w:rsid w:val="00A4271A"/>
    <w:rsid w:val="00A4314E"/>
    <w:rsid w:val="00A4499A"/>
    <w:rsid w:val="00A45E3D"/>
    <w:rsid w:val="00A45EF6"/>
    <w:rsid w:val="00A4668A"/>
    <w:rsid w:val="00A46F12"/>
    <w:rsid w:val="00A470D0"/>
    <w:rsid w:val="00A5018E"/>
    <w:rsid w:val="00A50799"/>
    <w:rsid w:val="00A51437"/>
    <w:rsid w:val="00A523BD"/>
    <w:rsid w:val="00A53446"/>
    <w:rsid w:val="00A539AA"/>
    <w:rsid w:val="00A54BBB"/>
    <w:rsid w:val="00A54C8E"/>
    <w:rsid w:val="00A56FFA"/>
    <w:rsid w:val="00A608BD"/>
    <w:rsid w:val="00A608DA"/>
    <w:rsid w:val="00A60D1D"/>
    <w:rsid w:val="00A60F09"/>
    <w:rsid w:val="00A6132F"/>
    <w:rsid w:val="00A619A8"/>
    <w:rsid w:val="00A61AF7"/>
    <w:rsid w:val="00A621D5"/>
    <w:rsid w:val="00A62816"/>
    <w:rsid w:val="00A63212"/>
    <w:rsid w:val="00A65489"/>
    <w:rsid w:val="00A65CC9"/>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22DA"/>
    <w:rsid w:val="00A725E2"/>
    <w:rsid w:val="00A72FEA"/>
    <w:rsid w:val="00A736BF"/>
    <w:rsid w:val="00A73729"/>
    <w:rsid w:val="00A73A9D"/>
    <w:rsid w:val="00A73BBC"/>
    <w:rsid w:val="00A7499C"/>
    <w:rsid w:val="00A7559C"/>
    <w:rsid w:val="00A7587A"/>
    <w:rsid w:val="00A76B1B"/>
    <w:rsid w:val="00A76C3C"/>
    <w:rsid w:val="00A76FE8"/>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7194"/>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6C8F"/>
    <w:rsid w:val="00AA0A8B"/>
    <w:rsid w:val="00AA346F"/>
    <w:rsid w:val="00AA37B3"/>
    <w:rsid w:val="00AA3C48"/>
    <w:rsid w:val="00AA4225"/>
    <w:rsid w:val="00AA4309"/>
    <w:rsid w:val="00AA519E"/>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C016B"/>
    <w:rsid w:val="00AC027E"/>
    <w:rsid w:val="00AC051D"/>
    <w:rsid w:val="00AC0F3A"/>
    <w:rsid w:val="00AC1923"/>
    <w:rsid w:val="00AC19DC"/>
    <w:rsid w:val="00AC27FF"/>
    <w:rsid w:val="00AC3621"/>
    <w:rsid w:val="00AC4707"/>
    <w:rsid w:val="00AC53F2"/>
    <w:rsid w:val="00AC774D"/>
    <w:rsid w:val="00AC7AA0"/>
    <w:rsid w:val="00AD0C4F"/>
    <w:rsid w:val="00AD1804"/>
    <w:rsid w:val="00AD1825"/>
    <w:rsid w:val="00AD1C31"/>
    <w:rsid w:val="00AD26FF"/>
    <w:rsid w:val="00AD35C4"/>
    <w:rsid w:val="00AD3AB2"/>
    <w:rsid w:val="00AD4166"/>
    <w:rsid w:val="00AD44D5"/>
    <w:rsid w:val="00AD47EB"/>
    <w:rsid w:val="00AD59E8"/>
    <w:rsid w:val="00AD6CBE"/>
    <w:rsid w:val="00AD75D3"/>
    <w:rsid w:val="00AE0532"/>
    <w:rsid w:val="00AE05E4"/>
    <w:rsid w:val="00AE0809"/>
    <w:rsid w:val="00AE0A07"/>
    <w:rsid w:val="00AE1903"/>
    <w:rsid w:val="00AE1B4F"/>
    <w:rsid w:val="00AE216D"/>
    <w:rsid w:val="00AE2F1E"/>
    <w:rsid w:val="00AE3E51"/>
    <w:rsid w:val="00AE4432"/>
    <w:rsid w:val="00AE4B3F"/>
    <w:rsid w:val="00AE509A"/>
    <w:rsid w:val="00AE6472"/>
    <w:rsid w:val="00AE68AD"/>
    <w:rsid w:val="00AE6A53"/>
    <w:rsid w:val="00AE6B4C"/>
    <w:rsid w:val="00AE7994"/>
    <w:rsid w:val="00AE7A54"/>
    <w:rsid w:val="00AE7FEF"/>
    <w:rsid w:val="00AF0ABF"/>
    <w:rsid w:val="00AF0E23"/>
    <w:rsid w:val="00AF3376"/>
    <w:rsid w:val="00AF3E51"/>
    <w:rsid w:val="00AF4E22"/>
    <w:rsid w:val="00AF5198"/>
    <w:rsid w:val="00AF5633"/>
    <w:rsid w:val="00AF5654"/>
    <w:rsid w:val="00AF5731"/>
    <w:rsid w:val="00AF5A7D"/>
    <w:rsid w:val="00AF745E"/>
    <w:rsid w:val="00B008F4"/>
    <w:rsid w:val="00B0298F"/>
    <w:rsid w:val="00B04040"/>
    <w:rsid w:val="00B040ED"/>
    <w:rsid w:val="00B04491"/>
    <w:rsid w:val="00B10110"/>
    <w:rsid w:val="00B109D4"/>
    <w:rsid w:val="00B1131C"/>
    <w:rsid w:val="00B12048"/>
    <w:rsid w:val="00B12060"/>
    <w:rsid w:val="00B1223F"/>
    <w:rsid w:val="00B12ACA"/>
    <w:rsid w:val="00B13093"/>
    <w:rsid w:val="00B13F21"/>
    <w:rsid w:val="00B14324"/>
    <w:rsid w:val="00B147BC"/>
    <w:rsid w:val="00B14CFC"/>
    <w:rsid w:val="00B16C4D"/>
    <w:rsid w:val="00B1708A"/>
    <w:rsid w:val="00B1742F"/>
    <w:rsid w:val="00B17B1B"/>
    <w:rsid w:val="00B20105"/>
    <w:rsid w:val="00B20D80"/>
    <w:rsid w:val="00B215F9"/>
    <w:rsid w:val="00B21640"/>
    <w:rsid w:val="00B2170E"/>
    <w:rsid w:val="00B22454"/>
    <w:rsid w:val="00B22B15"/>
    <w:rsid w:val="00B22C3D"/>
    <w:rsid w:val="00B22E35"/>
    <w:rsid w:val="00B23B9F"/>
    <w:rsid w:val="00B23E22"/>
    <w:rsid w:val="00B2407C"/>
    <w:rsid w:val="00B24727"/>
    <w:rsid w:val="00B24A9D"/>
    <w:rsid w:val="00B26206"/>
    <w:rsid w:val="00B26466"/>
    <w:rsid w:val="00B267E2"/>
    <w:rsid w:val="00B26A1A"/>
    <w:rsid w:val="00B311D3"/>
    <w:rsid w:val="00B3167D"/>
    <w:rsid w:val="00B32A6F"/>
    <w:rsid w:val="00B33B83"/>
    <w:rsid w:val="00B344E2"/>
    <w:rsid w:val="00B34596"/>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C7"/>
    <w:rsid w:val="00B43BBB"/>
    <w:rsid w:val="00B44F0C"/>
    <w:rsid w:val="00B45315"/>
    <w:rsid w:val="00B453C6"/>
    <w:rsid w:val="00B4585B"/>
    <w:rsid w:val="00B46974"/>
    <w:rsid w:val="00B501D2"/>
    <w:rsid w:val="00B50489"/>
    <w:rsid w:val="00B51127"/>
    <w:rsid w:val="00B52607"/>
    <w:rsid w:val="00B53226"/>
    <w:rsid w:val="00B55ABB"/>
    <w:rsid w:val="00B561C5"/>
    <w:rsid w:val="00B562CF"/>
    <w:rsid w:val="00B57090"/>
    <w:rsid w:val="00B573C6"/>
    <w:rsid w:val="00B57B4B"/>
    <w:rsid w:val="00B60E2F"/>
    <w:rsid w:val="00B61451"/>
    <w:rsid w:val="00B614FE"/>
    <w:rsid w:val="00B62311"/>
    <w:rsid w:val="00B631D0"/>
    <w:rsid w:val="00B634CE"/>
    <w:rsid w:val="00B635D2"/>
    <w:rsid w:val="00B63AB2"/>
    <w:rsid w:val="00B63B50"/>
    <w:rsid w:val="00B6416F"/>
    <w:rsid w:val="00B64982"/>
    <w:rsid w:val="00B64C91"/>
    <w:rsid w:val="00B65455"/>
    <w:rsid w:val="00B65EA0"/>
    <w:rsid w:val="00B6634F"/>
    <w:rsid w:val="00B668D7"/>
    <w:rsid w:val="00B66F8B"/>
    <w:rsid w:val="00B674BB"/>
    <w:rsid w:val="00B67B6E"/>
    <w:rsid w:val="00B71BCB"/>
    <w:rsid w:val="00B71BEC"/>
    <w:rsid w:val="00B71C9B"/>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CC7"/>
    <w:rsid w:val="00BA2CE1"/>
    <w:rsid w:val="00BA2D67"/>
    <w:rsid w:val="00BA393A"/>
    <w:rsid w:val="00BA4509"/>
    <w:rsid w:val="00BA5364"/>
    <w:rsid w:val="00BA5B9A"/>
    <w:rsid w:val="00BA6F33"/>
    <w:rsid w:val="00BA78E8"/>
    <w:rsid w:val="00BA799E"/>
    <w:rsid w:val="00BA7A83"/>
    <w:rsid w:val="00BB1373"/>
    <w:rsid w:val="00BB2FEE"/>
    <w:rsid w:val="00BB3ADC"/>
    <w:rsid w:val="00BB3F26"/>
    <w:rsid w:val="00BB4693"/>
    <w:rsid w:val="00BB6061"/>
    <w:rsid w:val="00BB6143"/>
    <w:rsid w:val="00BB69EE"/>
    <w:rsid w:val="00BB6AF8"/>
    <w:rsid w:val="00BB79B4"/>
    <w:rsid w:val="00BB7C2A"/>
    <w:rsid w:val="00BC047B"/>
    <w:rsid w:val="00BC109F"/>
    <w:rsid w:val="00BC1972"/>
    <w:rsid w:val="00BC3550"/>
    <w:rsid w:val="00BC3A48"/>
    <w:rsid w:val="00BC3A63"/>
    <w:rsid w:val="00BC4002"/>
    <w:rsid w:val="00BC4220"/>
    <w:rsid w:val="00BC5005"/>
    <w:rsid w:val="00BC5087"/>
    <w:rsid w:val="00BC68AC"/>
    <w:rsid w:val="00BD0C46"/>
    <w:rsid w:val="00BD0F1D"/>
    <w:rsid w:val="00BD1784"/>
    <w:rsid w:val="00BD254C"/>
    <w:rsid w:val="00BD27E0"/>
    <w:rsid w:val="00BD2B3B"/>
    <w:rsid w:val="00BD2B99"/>
    <w:rsid w:val="00BD3412"/>
    <w:rsid w:val="00BD3C56"/>
    <w:rsid w:val="00BD4068"/>
    <w:rsid w:val="00BD4E5D"/>
    <w:rsid w:val="00BE055D"/>
    <w:rsid w:val="00BE061F"/>
    <w:rsid w:val="00BE0977"/>
    <w:rsid w:val="00BE0C26"/>
    <w:rsid w:val="00BE0D71"/>
    <w:rsid w:val="00BE13A3"/>
    <w:rsid w:val="00BE2690"/>
    <w:rsid w:val="00BE2F3E"/>
    <w:rsid w:val="00BE336C"/>
    <w:rsid w:val="00BE3A3D"/>
    <w:rsid w:val="00BE46C1"/>
    <w:rsid w:val="00BE6CE1"/>
    <w:rsid w:val="00BE6E67"/>
    <w:rsid w:val="00BF0D45"/>
    <w:rsid w:val="00BF2089"/>
    <w:rsid w:val="00BF2623"/>
    <w:rsid w:val="00BF2790"/>
    <w:rsid w:val="00BF28E2"/>
    <w:rsid w:val="00BF29D3"/>
    <w:rsid w:val="00BF3102"/>
    <w:rsid w:val="00BF3289"/>
    <w:rsid w:val="00BF3EC0"/>
    <w:rsid w:val="00BF3F3C"/>
    <w:rsid w:val="00BF4A90"/>
    <w:rsid w:val="00BF4F8F"/>
    <w:rsid w:val="00BF5073"/>
    <w:rsid w:val="00BF5F77"/>
    <w:rsid w:val="00BF65F8"/>
    <w:rsid w:val="00BF68C0"/>
    <w:rsid w:val="00BF6D93"/>
    <w:rsid w:val="00BF6E3D"/>
    <w:rsid w:val="00BF746C"/>
    <w:rsid w:val="00C01021"/>
    <w:rsid w:val="00C01241"/>
    <w:rsid w:val="00C01CA3"/>
    <w:rsid w:val="00C01EE6"/>
    <w:rsid w:val="00C02622"/>
    <w:rsid w:val="00C02D55"/>
    <w:rsid w:val="00C04397"/>
    <w:rsid w:val="00C043F9"/>
    <w:rsid w:val="00C04418"/>
    <w:rsid w:val="00C04988"/>
    <w:rsid w:val="00C053DF"/>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488"/>
    <w:rsid w:val="00C22F5C"/>
    <w:rsid w:val="00C22FC1"/>
    <w:rsid w:val="00C2334E"/>
    <w:rsid w:val="00C24FEB"/>
    <w:rsid w:val="00C252C7"/>
    <w:rsid w:val="00C27E4E"/>
    <w:rsid w:val="00C3037B"/>
    <w:rsid w:val="00C30E89"/>
    <w:rsid w:val="00C316C5"/>
    <w:rsid w:val="00C32666"/>
    <w:rsid w:val="00C33E56"/>
    <w:rsid w:val="00C3543F"/>
    <w:rsid w:val="00C35AB2"/>
    <w:rsid w:val="00C36DC9"/>
    <w:rsid w:val="00C3754C"/>
    <w:rsid w:val="00C41B05"/>
    <w:rsid w:val="00C42445"/>
    <w:rsid w:val="00C42676"/>
    <w:rsid w:val="00C42923"/>
    <w:rsid w:val="00C4389E"/>
    <w:rsid w:val="00C4533F"/>
    <w:rsid w:val="00C457D6"/>
    <w:rsid w:val="00C45972"/>
    <w:rsid w:val="00C45DCF"/>
    <w:rsid w:val="00C463D5"/>
    <w:rsid w:val="00C50FEB"/>
    <w:rsid w:val="00C51084"/>
    <w:rsid w:val="00C51C14"/>
    <w:rsid w:val="00C52784"/>
    <w:rsid w:val="00C52DAC"/>
    <w:rsid w:val="00C52ED6"/>
    <w:rsid w:val="00C53117"/>
    <w:rsid w:val="00C53161"/>
    <w:rsid w:val="00C534B2"/>
    <w:rsid w:val="00C538A2"/>
    <w:rsid w:val="00C53B39"/>
    <w:rsid w:val="00C53F0F"/>
    <w:rsid w:val="00C55175"/>
    <w:rsid w:val="00C555B3"/>
    <w:rsid w:val="00C555C1"/>
    <w:rsid w:val="00C55E23"/>
    <w:rsid w:val="00C56E2E"/>
    <w:rsid w:val="00C574D2"/>
    <w:rsid w:val="00C6070A"/>
    <w:rsid w:val="00C609E9"/>
    <w:rsid w:val="00C60F7A"/>
    <w:rsid w:val="00C60F88"/>
    <w:rsid w:val="00C6262D"/>
    <w:rsid w:val="00C6334C"/>
    <w:rsid w:val="00C638BB"/>
    <w:rsid w:val="00C64D39"/>
    <w:rsid w:val="00C65E49"/>
    <w:rsid w:val="00C670B3"/>
    <w:rsid w:val="00C67453"/>
    <w:rsid w:val="00C70100"/>
    <w:rsid w:val="00C70318"/>
    <w:rsid w:val="00C7092D"/>
    <w:rsid w:val="00C70D92"/>
    <w:rsid w:val="00C71910"/>
    <w:rsid w:val="00C733D7"/>
    <w:rsid w:val="00C73EE6"/>
    <w:rsid w:val="00C75882"/>
    <w:rsid w:val="00C77262"/>
    <w:rsid w:val="00C77D2F"/>
    <w:rsid w:val="00C8001F"/>
    <w:rsid w:val="00C807B4"/>
    <w:rsid w:val="00C81E31"/>
    <w:rsid w:val="00C82156"/>
    <w:rsid w:val="00C84855"/>
    <w:rsid w:val="00C909C8"/>
    <w:rsid w:val="00C90BDD"/>
    <w:rsid w:val="00C9222E"/>
    <w:rsid w:val="00C937FF"/>
    <w:rsid w:val="00C95506"/>
    <w:rsid w:val="00C9583A"/>
    <w:rsid w:val="00C96065"/>
    <w:rsid w:val="00C96D93"/>
    <w:rsid w:val="00C97344"/>
    <w:rsid w:val="00C973FC"/>
    <w:rsid w:val="00CA073C"/>
    <w:rsid w:val="00CA1094"/>
    <w:rsid w:val="00CA1452"/>
    <w:rsid w:val="00CA1717"/>
    <w:rsid w:val="00CA1E3C"/>
    <w:rsid w:val="00CA20EE"/>
    <w:rsid w:val="00CA2738"/>
    <w:rsid w:val="00CA2803"/>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5072"/>
    <w:rsid w:val="00CB53A2"/>
    <w:rsid w:val="00CB5E9A"/>
    <w:rsid w:val="00CB64BB"/>
    <w:rsid w:val="00CC112C"/>
    <w:rsid w:val="00CC1440"/>
    <w:rsid w:val="00CC16DA"/>
    <w:rsid w:val="00CC3F01"/>
    <w:rsid w:val="00CC4684"/>
    <w:rsid w:val="00CC4E1C"/>
    <w:rsid w:val="00CC4F42"/>
    <w:rsid w:val="00CC54CE"/>
    <w:rsid w:val="00CC556C"/>
    <w:rsid w:val="00CC56BA"/>
    <w:rsid w:val="00CC589E"/>
    <w:rsid w:val="00CC58A0"/>
    <w:rsid w:val="00CC5CEE"/>
    <w:rsid w:val="00CC620B"/>
    <w:rsid w:val="00CC648B"/>
    <w:rsid w:val="00CC7DF5"/>
    <w:rsid w:val="00CD0E19"/>
    <w:rsid w:val="00CD11E2"/>
    <w:rsid w:val="00CD1511"/>
    <w:rsid w:val="00CD1521"/>
    <w:rsid w:val="00CD2750"/>
    <w:rsid w:val="00CD2E2F"/>
    <w:rsid w:val="00CD364B"/>
    <w:rsid w:val="00CD3C73"/>
    <w:rsid w:val="00CD3DB8"/>
    <w:rsid w:val="00CD4A5D"/>
    <w:rsid w:val="00CD515F"/>
    <w:rsid w:val="00CD54F1"/>
    <w:rsid w:val="00CD676F"/>
    <w:rsid w:val="00CD6AA1"/>
    <w:rsid w:val="00CD6E99"/>
    <w:rsid w:val="00CD7FFA"/>
    <w:rsid w:val="00CE0678"/>
    <w:rsid w:val="00CE0BC5"/>
    <w:rsid w:val="00CE1833"/>
    <w:rsid w:val="00CE2FC3"/>
    <w:rsid w:val="00CE3091"/>
    <w:rsid w:val="00CE30C0"/>
    <w:rsid w:val="00CE4403"/>
    <w:rsid w:val="00CE4A17"/>
    <w:rsid w:val="00CE4AA9"/>
    <w:rsid w:val="00CE63BF"/>
    <w:rsid w:val="00CE704D"/>
    <w:rsid w:val="00CE7BC4"/>
    <w:rsid w:val="00CE7CB5"/>
    <w:rsid w:val="00CE7E12"/>
    <w:rsid w:val="00CF0394"/>
    <w:rsid w:val="00CF0584"/>
    <w:rsid w:val="00CF36CF"/>
    <w:rsid w:val="00CF4621"/>
    <w:rsid w:val="00CF5C2D"/>
    <w:rsid w:val="00CF6AEB"/>
    <w:rsid w:val="00CF6E90"/>
    <w:rsid w:val="00CF7062"/>
    <w:rsid w:val="00CF71D3"/>
    <w:rsid w:val="00CF7932"/>
    <w:rsid w:val="00CF79F3"/>
    <w:rsid w:val="00CF7A12"/>
    <w:rsid w:val="00D012AA"/>
    <w:rsid w:val="00D01733"/>
    <w:rsid w:val="00D05517"/>
    <w:rsid w:val="00D05A3A"/>
    <w:rsid w:val="00D06260"/>
    <w:rsid w:val="00D07E1C"/>
    <w:rsid w:val="00D1020B"/>
    <w:rsid w:val="00D10E6C"/>
    <w:rsid w:val="00D126F1"/>
    <w:rsid w:val="00D12924"/>
    <w:rsid w:val="00D13C13"/>
    <w:rsid w:val="00D1458F"/>
    <w:rsid w:val="00D14EBD"/>
    <w:rsid w:val="00D155D2"/>
    <w:rsid w:val="00D171A7"/>
    <w:rsid w:val="00D171B9"/>
    <w:rsid w:val="00D20723"/>
    <w:rsid w:val="00D2093E"/>
    <w:rsid w:val="00D22E0B"/>
    <w:rsid w:val="00D2418B"/>
    <w:rsid w:val="00D24F6D"/>
    <w:rsid w:val="00D252FC"/>
    <w:rsid w:val="00D25D2B"/>
    <w:rsid w:val="00D26F87"/>
    <w:rsid w:val="00D27A73"/>
    <w:rsid w:val="00D27FE4"/>
    <w:rsid w:val="00D3014D"/>
    <w:rsid w:val="00D30783"/>
    <w:rsid w:val="00D30D97"/>
    <w:rsid w:val="00D3282E"/>
    <w:rsid w:val="00D32BBE"/>
    <w:rsid w:val="00D3415E"/>
    <w:rsid w:val="00D34A24"/>
    <w:rsid w:val="00D363CB"/>
    <w:rsid w:val="00D3770F"/>
    <w:rsid w:val="00D37E7F"/>
    <w:rsid w:val="00D400BE"/>
    <w:rsid w:val="00D40252"/>
    <w:rsid w:val="00D402EE"/>
    <w:rsid w:val="00D4090B"/>
    <w:rsid w:val="00D40D2F"/>
    <w:rsid w:val="00D40DE7"/>
    <w:rsid w:val="00D40DEC"/>
    <w:rsid w:val="00D41DCD"/>
    <w:rsid w:val="00D41E7B"/>
    <w:rsid w:val="00D4220E"/>
    <w:rsid w:val="00D42DC5"/>
    <w:rsid w:val="00D42E7E"/>
    <w:rsid w:val="00D43306"/>
    <w:rsid w:val="00D4417B"/>
    <w:rsid w:val="00D44F5E"/>
    <w:rsid w:val="00D4513D"/>
    <w:rsid w:val="00D4562E"/>
    <w:rsid w:val="00D45B3C"/>
    <w:rsid w:val="00D476B8"/>
    <w:rsid w:val="00D47ABD"/>
    <w:rsid w:val="00D50287"/>
    <w:rsid w:val="00D50B0C"/>
    <w:rsid w:val="00D5200D"/>
    <w:rsid w:val="00D523A2"/>
    <w:rsid w:val="00D52595"/>
    <w:rsid w:val="00D52868"/>
    <w:rsid w:val="00D52A41"/>
    <w:rsid w:val="00D53B53"/>
    <w:rsid w:val="00D54CF3"/>
    <w:rsid w:val="00D54DF1"/>
    <w:rsid w:val="00D54E12"/>
    <w:rsid w:val="00D54F55"/>
    <w:rsid w:val="00D5508D"/>
    <w:rsid w:val="00D55417"/>
    <w:rsid w:val="00D55DAA"/>
    <w:rsid w:val="00D57710"/>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7D79"/>
    <w:rsid w:val="00D67E29"/>
    <w:rsid w:val="00D7067F"/>
    <w:rsid w:val="00D706D9"/>
    <w:rsid w:val="00D70D1F"/>
    <w:rsid w:val="00D70FBD"/>
    <w:rsid w:val="00D735D0"/>
    <w:rsid w:val="00D739F6"/>
    <w:rsid w:val="00D73A30"/>
    <w:rsid w:val="00D743E1"/>
    <w:rsid w:val="00D7478C"/>
    <w:rsid w:val="00D75948"/>
    <w:rsid w:val="00D75C2F"/>
    <w:rsid w:val="00D75EE5"/>
    <w:rsid w:val="00D76A4C"/>
    <w:rsid w:val="00D76F86"/>
    <w:rsid w:val="00D77689"/>
    <w:rsid w:val="00D80EA0"/>
    <w:rsid w:val="00D81640"/>
    <w:rsid w:val="00D822A6"/>
    <w:rsid w:val="00D82BE2"/>
    <w:rsid w:val="00D8387F"/>
    <w:rsid w:val="00D84250"/>
    <w:rsid w:val="00D854E0"/>
    <w:rsid w:val="00D85826"/>
    <w:rsid w:val="00D85894"/>
    <w:rsid w:val="00D86223"/>
    <w:rsid w:val="00D863CE"/>
    <w:rsid w:val="00D86DD8"/>
    <w:rsid w:val="00D87794"/>
    <w:rsid w:val="00D87B92"/>
    <w:rsid w:val="00D9026E"/>
    <w:rsid w:val="00D9087B"/>
    <w:rsid w:val="00D90C61"/>
    <w:rsid w:val="00D91245"/>
    <w:rsid w:val="00D91345"/>
    <w:rsid w:val="00D91903"/>
    <w:rsid w:val="00D91D60"/>
    <w:rsid w:val="00D92794"/>
    <w:rsid w:val="00D92F98"/>
    <w:rsid w:val="00D934D9"/>
    <w:rsid w:val="00D9365A"/>
    <w:rsid w:val="00D936AE"/>
    <w:rsid w:val="00D9382C"/>
    <w:rsid w:val="00D93B9F"/>
    <w:rsid w:val="00D942C2"/>
    <w:rsid w:val="00D945C8"/>
    <w:rsid w:val="00D94D6D"/>
    <w:rsid w:val="00D94D6E"/>
    <w:rsid w:val="00D961A7"/>
    <w:rsid w:val="00D963B6"/>
    <w:rsid w:val="00D96E83"/>
    <w:rsid w:val="00D97921"/>
    <w:rsid w:val="00D97E52"/>
    <w:rsid w:val="00DA138A"/>
    <w:rsid w:val="00DA14C6"/>
    <w:rsid w:val="00DA1E69"/>
    <w:rsid w:val="00DA2EBB"/>
    <w:rsid w:val="00DA34CC"/>
    <w:rsid w:val="00DA3A8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30CE"/>
    <w:rsid w:val="00DD46AC"/>
    <w:rsid w:val="00DD5022"/>
    <w:rsid w:val="00DD5028"/>
    <w:rsid w:val="00DD5FBD"/>
    <w:rsid w:val="00DD6023"/>
    <w:rsid w:val="00DD669F"/>
    <w:rsid w:val="00DD6F3F"/>
    <w:rsid w:val="00DD7799"/>
    <w:rsid w:val="00DD7851"/>
    <w:rsid w:val="00DD7981"/>
    <w:rsid w:val="00DE0F5E"/>
    <w:rsid w:val="00DE2457"/>
    <w:rsid w:val="00DE29E6"/>
    <w:rsid w:val="00DE2BAE"/>
    <w:rsid w:val="00DE3117"/>
    <w:rsid w:val="00DE35A2"/>
    <w:rsid w:val="00DE3715"/>
    <w:rsid w:val="00DE3EC6"/>
    <w:rsid w:val="00DE414E"/>
    <w:rsid w:val="00DE4F49"/>
    <w:rsid w:val="00DE60DA"/>
    <w:rsid w:val="00DE79EB"/>
    <w:rsid w:val="00DF0854"/>
    <w:rsid w:val="00DF0D0C"/>
    <w:rsid w:val="00DF1328"/>
    <w:rsid w:val="00DF1C72"/>
    <w:rsid w:val="00DF1FDF"/>
    <w:rsid w:val="00DF2425"/>
    <w:rsid w:val="00DF358F"/>
    <w:rsid w:val="00DF3AFF"/>
    <w:rsid w:val="00DF4554"/>
    <w:rsid w:val="00DF5F3F"/>
    <w:rsid w:val="00DF622D"/>
    <w:rsid w:val="00DF7318"/>
    <w:rsid w:val="00DF7773"/>
    <w:rsid w:val="00E013D9"/>
    <w:rsid w:val="00E0206F"/>
    <w:rsid w:val="00E02E2A"/>
    <w:rsid w:val="00E032FE"/>
    <w:rsid w:val="00E04B16"/>
    <w:rsid w:val="00E05391"/>
    <w:rsid w:val="00E060D3"/>
    <w:rsid w:val="00E07919"/>
    <w:rsid w:val="00E100FC"/>
    <w:rsid w:val="00E10FEF"/>
    <w:rsid w:val="00E12830"/>
    <w:rsid w:val="00E12BF5"/>
    <w:rsid w:val="00E12DBC"/>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564F"/>
    <w:rsid w:val="00E262EA"/>
    <w:rsid w:val="00E2631A"/>
    <w:rsid w:val="00E26CE8"/>
    <w:rsid w:val="00E271F1"/>
    <w:rsid w:val="00E275E4"/>
    <w:rsid w:val="00E30443"/>
    <w:rsid w:val="00E305B9"/>
    <w:rsid w:val="00E30ACD"/>
    <w:rsid w:val="00E30FC1"/>
    <w:rsid w:val="00E31130"/>
    <w:rsid w:val="00E31170"/>
    <w:rsid w:val="00E311E7"/>
    <w:rsid w:val="00E32D91"/>
    <w:rsid w:val="00E33530"/>
    <w:rsid w:val="00E34968"/>
    <w:rsid w:val="00E34D4F"/>
    <w:rsid w:val="00E35318"/>
    <w:rsid w:val="00E35EC6"/>
    <w:rsid w:val="00E363FA"/>
    <w:rsid w:val="00E36645"/>
    <w:rsid w:val="00E37052"/>
    <w:rsid w:val="00E370F2"/>
    <w:rsid w:val="00E37E9C"/>
    <w:rsid w:val="00E40BF1"/>
    <w:rsid w:val="00E4139E"/>
    <w:rsid w:val="00E42075"/>
    <w:rsid w:val="00E420DB"/>
    <w:rsid w:val="00E42368"/>
    <w:rsid w:val="00E4251A"/>
    <w:rsid w:val="00E42C81"/>
    <w:rsid w:val="00E435AB"/>
    <w:rsid w:val="00E44207"/>
    <w:rsid w:val="00E4693E"/>
    <w:rsid w:val="00E4708E"/>
    <w:rsid w:val="00E471D7"/>
    <w:rsid w:val="00E47644"/>
    <w:rsid w:val="00E47AB0"/>
    <w:rsid w:val="00E50B33"/>
    <w:rsid w:val="00E5124D"/>
    <w:rsid w:val="00E5153D"/>
    <w:rsid w:val="00E51C26"/>
    <w:rsid w:val="00E5260E"/>
    <w:rsid w:val="00E53B3E"/>
    <w:rsid w:val="00E53DDE"/>
    <w:rsid w:val="00E5467C"/>
    <w:rsid w:val="00E5540D"/>
    <w:rsid w:val="00E55981"/>
    <w:rsid w:val="00E57094"/>
    <w:rsid w:val="00E6018A"/>
    <w:rsid w:val="00E602D8"/>
    <w:rsid w:val="00E60D18"/>
    <w:rsid w:val="00E61097"/>
    <w:rsid w:val="00E61139"/>
    <w:rsid w:val="00E61952"/>
    <w:rsid w:val="00E6204C"/>
    <w:rsid w:val="00E62442"/>
    <w:rsid w:val="00E625A1"/>
    <w:rsid w:val="00E6349B"/>
    <w:rsid w:val="00E63D0F"/>
    <w:rsid w:val="00E63E45"/>
    <w:rsid w:val="00E6446C"/>
    <w:rsid w:val="00E644F7"/>
    <w:rsid w:val="00E64ACA"/>
    <w:rsid w:val="00E6593A"/>
    <w:rsid w:val="00E65E1D"/>
    <w:rsid w:val="00E66F66"/>
    <w:rsid w:val="00E67029"/>
    <w:rsid w:val="00E67719"/>
    <w:rsid w:val="00E700E9"/>
    <w:rsid w:val="00E70333"/>
    <w:rsid w:val="00E70C15"/>
    <w:rsid w:val="00E71501"/>
    <w:rsid w:val="00E71D35"/>
    <w:rsid w:val="00E72BCD"/>
    <w:rsid w:val="00E7313B"/>
    <w:rsid w:val="00E742DA"/>
    <w:rsid w:val="00E7599F"/>
    <w:rsid w:val="00E75C68"/>
    <w:rsid w:val="00E76859"/>
    <w:rsid w:val="00E76F8B"/>
    <w:rsid w:val="00E77529"/>
    <w:rsid w:val="00E8056F"/>
    <w:rsid w:val="00E817B1"/>
    <w:rsid w:val="00E821D1"/>
    <w:rsid w:val="00E82C00"/>
    <w:rsid w:val="00E837CE"/>
    <w:rsid w:val="00E83D85"/>
    <w:rsid w:val="00E856C4"/>
    <w:rsid w:val="00E86882"/>
    <w:rsid w:val="00E908A0"/>
    <w:rsid w:val="00E90ECD"/>
    <w:rsid w:val="00E91658"/>
    <w:rsid w:val="00E924CC"/>
    <w:rsid w:val="00E93858"/>
    <w:rsid w:val="00E93DFA"/>
    <w:rsid w:val="00E94359"/>
    <w:rsid w:val="00E9441A"/>
    <w:rsid w:val="00E94878"/>
    <w:rsid w:val="00E94B88"/>
    <w:rsid w:val="00E94DA8"/>
    <w:rsid w:val="00E94FB3"/>
    <w:rsid w:val="00E96479"/>
    <w:rsid w:val="00E97101"/>
    <w:rsid w:val="00E97184"/>
    <w:rsid w:val="00EA29F2"/>
    <w:rsid w:val="00EA3419"/>
    <w:rsid w:val="00EA3EE3"/>
    <w:rsid w:val="00EA3F89"/>
    <w:rsid w:val="00EA58DE"/>
    <w:rsid w:val="00EA6DDC"/>
    <w:rsid w:val="00EA71A6"/>
    <w:rsid w:val="00EA7D25"/>
    <w:rsid w:val="00EB01F5"/>
    <w:rsid w:val="00EB026D"/>
    <w:rsid w:val="00EB0B66"/>
    <w:rsid w:val="00EB18E2"/>
    <w:rsid w:val="00EB1FA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76C7"/>
    <w:rsid w:val="00EC7B20"/>
    <w:rsid w:val="00EC7F39"/>
    <w:rsid w:val="00ED047A"/>
    <w:rsid w:val="00ED0959"/>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FBC"/>
    <w:rsid w:val="00EE41B1"/>
    <w:rsid w:val="00EE5259"/>
    <w:rsid w:val="00EE58EE"/>
    <w:rsid w:val="00EE5A33"/>
    <w:rsid w:val="00EE5E01"/>
    <w:rsid w:val="00EE6490"/>
    <w:rsid w:val="00EE707B"/>
    <w:rsid w:val="00EF0B78"/>
    <w:rsid w:val="00EF0C3E"/>
    <w:rsid w:val="00EF10F3"/>
    <w:rsid w:val="00EF155B"/>
    <w:rsid w:val="00EF1DF1"/>
    <w:rsid w:val="00EF51CF"/>
    <w:rsid w:val="00EF5380"/>
    <w:rsid w:val="00EF55C2"/>
    <w:rsid w:val="00EF659D"/>
    <w:rsid w:val="00EF7624"/>
    <w:rsid w:val="00EF7E35"/>
    <w:rsid w:val="00F00734"/>
    <w:rsid w:val="00F023DB"/>
    <w:rsid w:val="00F03028"/>
    <w:rsid w:val="00F034CA"/>
    <w:rsid w:val="00F04917"/>
    <w:rsid w:val="00F04CC6"/>
    <w:rsid w:val="00F04E00"/>
    <w:rsid w:val="00F05FD0"/>
    <w:rsid w:val="00F107F4"/>
    <w:rsid w:val="00F10F7A"/>
    <w:rsid w:val="00F11600"/>
    <w:rsid w:val="00F117E0"/>
    <w:rsid w:val="00F11C61"/>
    <w:rsid w:val="00F12148"/>
    <w:rsid w:val="00F12666"/>
    <w:rsid w:val="00F12683"/>
    <w:rsid w:val="00F126D2"/>
    <w:rsid w:val="00F1299C"/>
    <w:rsid w:val="00F12C29"/>
    <w:rsid w:val="00F15443"/>
    <w:rsid w:val="00F15B07"/>
    <w:rsid w:val="00F175DD"/>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27050"/>
    <w:rsid w:val="00F30154"/>
    <w:rsid w:val="00F30CF9"/>
    <w:rsid w:val="00F3179B"/>
    <w:rsid w:val="00F329FA"/>
    <w:rsid w:val="00F32FD3"/>
    <w:rsid w:val="00F335AC"/>
    <w:rsid w:val="00F335FB"/>
    <w:rsid w:val="00F34A61"/>
    <w:rsid w:val="00F355D0"/>
    <w:rsid w:val="00F35A8F"/>
    <w:rsid w:val="00F35EB9"/>
    <w:rsid w:val="00F36C4B"/>
    <w:rsid w:val="00F40763"/>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4D8"/>
    <w:rsid w:val="00F52A7E"/>
    <w:rsid w:val="00F52B9E"/>
    <w:rsid w:val="00F52F53"/>
    <w:rsid w:val="00F53134"/>
    <w:rsid w:val="00F5482A"/>
    <w:rsid w:val="00F55C3A"/>
    <w:rsid w:val="00F5659D"/>
    <w:rsid w:val="00F56C8E"/>
    <w:rsid w:val="00F601FC"/>
    <w:rsid w:val="00F60597"/>
    <w:rsid w:val="00F609DB"/>
    <w:rsid w:val="00F61257"/>
    <w:rsid w:val="00F6128C"/>
    <w:rsid w:val="00F61364"/>
    <w:rsid w:val="00F61E4C"/>
    <w:rsid w:val="00F62CAD"/>
    <w:rsid w:val="00F6371A"/>
    <w:rsid w:val="00F6397F"/>
    <w:rsid w:val="00F6472A"/>
    <w:rsid w:val="00F649B7"/>
    <w:rsid w:val="00F67036"/>
    <w:rsid w:val="00F7071D"/>
    <w:rsid w:val="00F70769"/>
    <w:rsid w:val="00F70830"/>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5A0"/>
    <w:rsid w:val="00F769FE"/>
    <w:rsid w:val="00F76CA2"/>
    <w:rsid w:val="00F770A3"/>
    <w:rsid w:val="00F772BA"/>
    <w:rsid w:val="00F77DB3"/>
    <w:rsid w:val="00F8037E"/>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681"/>
    <w:rsid w:val="00F90DC5"/>
    <w:rsid w:val="00F912BB"/>
    <w:rsid w:val="00F91742"/>
    <w:rsid w:val="00F9189A"/>
    <w:rsid w:val="00F91B32"/>
    <w:rsid w:val="00F91DF0"/>
    <w:rsid w:val="00F92445"/>
    <w:rsid w:val="00F924C6"/>
    <w:rsid w:val="00F93902"/>
    <w:rsid w:val="00F953B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3ADA"/>
    <w:rsid w:val="00FA3B06"/>
    <w:rsid w:val="00FA43D3"/>
    <w:rsid w:val="00FA4B52"/>
    <w:rsid w:val="00FA4E50"/>
    <w:rsid w:val="00FA57E7"/>
    <w:rsid w:val="00FA7260"/>
    <w:rsid w:val="00FA7B7F"/>
    <w:rsid w:val="00FA7CF8"/>
    <w:rsid w:val="00FB01A1"/>
    <w:rsid w:val="00FB20BA"/>
    <w:rsid w:val="00FB21D2"/>
    <w:rsid w:val="00FB23E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70AC"/>
    <w:rsid w:val="00FE7143"/>
    <w:rsid w:val="00FE7412"/>
    <w:rsid w:val="00FE7D66"/>
    <w:rsid w:val="00FF0715"/>
    <w:rsid w:val="00FF0A16"/>
    <w:rsid w:val="00FF2703"/>
    <w:rsid w:val="00FF30ED"/>
    <w:rsid w:val="00FF4403"/>
    <w:rsid w:val="00FF462A"/>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D680B6"/>
  <w15:chartTrackingRefBased/>
  <w15:docId w15:val="{B7DD96C7-4341-40C5-AA69-44576D2EF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widowControl w:val="0"/>
      <w:spacing w:after="120" w:line="240" w:lineRule="atLeast"/>
    </w:pPr>
    <w:rPr>
      <w:rFonts w:ascii="Arial" w:hAnsi="Arial"/>
      <w:sz w:val="22"/>
      <w:lang w:val="en-GB" w:eastAsia="en-US"/>
    </w:rPr>
  </w:style>
  <w:style w:type="paragraph" w:styleId="berschrift1">
    <w:name w:val="heading 1"/>
    <w:aliases w:val="H1,Huvudrubrik,h1,app heading 1,l1,h11,h12,h13,h14,h15,h16,Heading 1_a,Heading 1 (NN),Titolo Sezione,Head 1 (Chapter heading),Titre§,1,Section Head,Prophead level 1,Prophead 1,Section heading,Forward,H11,H12,H13,H111,H14,H112,H15,H16,H17"/>
    <w:basedOn w:val="Standard"/>
    <w:next w:val="Standard"/>
    <w:link w:val="berschrift1Zchn"/>
    <w:uiPriority w:val="9"/>
    <w:qFormat/>
    <w:pPr>
      <w:keepNext/>
      <w:outlineLvl w:val="0"/>
    </w:pPr>
    <w:rPr>
      <w:sz w:val="24"/>
    </w:rPr>
  </w:style>
  <w:style w:type="paragraph" w:styleId="berschrift2">
    <w:name w:val="heading 2"/>
    <w:basedOn w:val="Standard"/>
    <w:next w:val="Standard"/>
    <w:qFormat/>
    <w:pPr>
      <w:keepNext/>
      <w:tabs>
        <w:tab w:val="left" w:pos="2127"/>
      </w:tabs>
      <w:ind w:left="2131" w:hanging="2131"/>
      <w:outlineLvl w:val="1"/>
    </w:pPr>
    <w:rPr>
      <w:b/>
      <w:sz w:val="24"/>
      <w:lang w:val="en-US"/>
    </w:rPr>
  </w:style>
  <w:style w:type="paragraph" w:styleId="berschrift3">
    <w:name w:val="heading 3"/>
    <w:basedOn w:val="Standard"/>
    <w:next w:val="Standard"/>
    <w:qFormat/>
    <w:pPr>
      <w:keepNext/>
      <w:tabs>
        <w:tab w:val="left" w:pos="851"/>
        <w:tab w:val="left" w:pos="1418"/>
        <w:tab w:val="left" w:pos="2127"/>
        <w:tab w:val="right" w:pos="8820"/>
      </w:tabs>
      <w:spacing w:after="240"/>
      <w:jc w:val="center"/>
      <w:outlineLvl w:val="2"/>
    </w:pPr>
    <w:rPr>
      <w:b/>
      <w:sz w:val="28"/>
      <w:lang w:val="en-US"/>
    </w:rPr>
  </w:style>
  <w:style w:type="paragraph" w:styleId="berschrift4">
    <w:name w:val="heading 4"/>
    <w:aliases w:val="h4"/>
    <w:basedOn w:val="Standard"/>
    <w:next w:val="Standard"/>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berschrift5">
    <w:name w:val="heading 5"/>
    <w:basedOn w:val="Standard"/>
    <w:next w:val="Standard"/>
    <w:qFormat/>
    <w:pPr>
      <w:keepNext/>
      <w:spacing w:before="20" w:after="0" w:line="240" w:lineRule="auto"/>
      <w:ind w:left="3402" w:hanging="567"/>
      <w:outlineLvl w:val="4"/>
    </w:pPr>
    <w:rPr>
      <w:rFonts w:cs="Arial"/>
      <w:b/>
      <w:bCs/>
      <w:color w:val="000000"/>
      <w:sz w:val="20"/>
      <w:lang w:val="en-US"/>
    </w:rPr>
  </w:style>
  <w:style w:type="paragraph" w:styleId="berschrift6">
    <w:name w:val="heading 6"/>
    <w:basedOn w:val="Standard"/>
    <w:next w:val="Standard"/>
    <w:qFormat/>
    <w:pPr>
      <w:keepNext/>
      <w:spacing w:before="20" w:after="0" w:line="240" w:lineRule="auto"/>
      <w:ind w:left="2835"/>
      <w:outlineLvl w:val="5"/>
    </w:pPr>
    <w:rPr>
      <w:rFonts w:cs="Arial"/>
      <w:b/>
      <w:bCs/>
      <w:color w:val="000000"/>
      <w:sz w:val="20"/>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odd,header,header odd1,header odd2,header odd3,header odd4,header odd5,header odd6,THeader,header1,header2,header3,header odd11,header odd21,header odd7,header4,header odd8,header odd9,header5,header odd12,header11,header21,header odd22"/>
    <w:basedOn w:val="Standard"/>
    <w:pPr>
      <w:widowControl/>
      <w:tabs>
        <w:tab w:val="center" w:pos="4819"/>
        <w:tab w:val="right" w:pos="9071"/>
      </w:tabs>
      <w:jc w:val="both"/>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paragraph" w:styleId="Funotentext">
    <w:name w:val="footnote text"/>
    <w:basedOn w:val="Standard"/>
    <w:semiHidden/>
    <w:rPr>
      <w:sz w:val="20"/>
    </w:rPr>
  </w:style>
  <w:style w:type="character" w:styleId="Funotenzeichen">
    <w:name w:val="footnote reference"/>
    <w:semiHidden/>
    <w:rPr>
      <w:vertAlign w:val="superscript"/>
    </w:rPr>
  </w:style>
  <w:style w:type="paragraph" w:customStyle="1" w:styleId="Heading">
    <w:name w:val="Heading"/>
    <w:aliases w:val="1_"/>
    <w:basedOn w:val="Standard"/>
    <w:link w:val="HeadingCar"/>
    <w:pPr>
      <w:ind w:left="1260" w:hanging="551"/>
    </w:pPr>
    <w:rPr>
      <w:b/>
      <w:lang w:eastAsia="x-none"/>
    </w:rPr>
  </w:style>
  <w:style w:type="paragraph" w:styleId="Textkrper-Zeileneinzug">
    <w:name w:val="Body Text Indent"/>
    <w:basedOn w:val="Standard"/>
    <w:pPr>
      <w:tabs>
        <w:tab w:val="left" w:pos="6379"/>
      </w:tabs>
      <w:spacing w:after="0"/>
      <w:ind w:left="1454" w:hanging="461"/>
    </w:pPr>
    <w:rPr>
      <w:color w:val="000000"/>
      <w:sz w:val="16"/>
      <w:lang w:val="en-US"/>
    </w:rPr>
  </w:style>
  <w:style w:type="paragraph" w:customStyle="1" w:styleId="IndentText">
    <w:name w:val="Indent Text"/>
    <w:basedOn w:val="Standard"/>
    <w:pPr>
      <w:widowControl/>
      <w:tabs>
        <w:tab w:val="left" w:pos="1620"/>
        <w:tab w:val="left" w:pos="1980"/>
      </w:tabs>
      <w:spacing w:line="240" w:lineRule="auto"/>
      <w:ind w:left="720"/>
      <w:jc w:val="both"/>
    </w:pPr>
    <w:rPr>
      <w:sz w:val="20"/>
      <w:lang w:val="en-US"/>
    </w:rPr>
  </w:style>
  <w:style w:type="paragraph" w:styleId="Endnotentext">
    <w:name w:val="endnote text"/>
    <w:basedOn w:val="Standard"/>
    <w:semiHidden/>
    <w:rPr>
      <w:sz w:val="20"/>
    </w:rPr>
  </w:style>
  <w:style w:type="character" w:styleId="Endnotenzeichen">
    <w:name w:val="endnote reference"/>
    <w:semiHidden/>
    <w:rPr>
      <w:vertAlign w:val="superscript"/>
    </w:rPr>
  </w:style>
  <w:style w:type="paragraph" w:styleId="Textkrper-Einzug2">
    <w:name w:val="Body Text Indent 2"/>
    <w:basedOn w:val="Standard"/>
    <w:pPr>
      <w:tabs>
        <w:tab w:val="left" w:pos="1560"/>
        <w:tab w:val="left" w:pos="6379"/>
      </w:tabs>
      <w:spacing w:after="0"/>
      <w:ind w:left="6379" w:hanging="4820"/>
    </w:pPr>
    <w:rPr>
      <w:bCs/>
      <w:color w:val="000000"/>
      <w:sz w:val="18"/>
      <w:lang w:val="en-US"/>
    </w:rPr>
  </w:style>
  <w:style w:type="paragraph" w:styleId="Textkrper-Einzug3">
    <w:name w:val="Body Text Indent 3"/>
    <w:basedOn w:val="Standard"/>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Textkrper">
    <w:name w:val="Body Text"/>
    <w:aliases w:val="ändrad,AvtalBrödtext,Bodytext,EHPT,Body Text2,AvtalBrodtext,andrad,Body3,compact,paragraph 2,body indent"/>
    <w:basedOn w:val="Standard"/>
    <w:pPr>
      <w:jc w:val="both"/>
    </w:pPr>
    <w:rPr>
      <w:sz w:val="20"/>
      <w:lang w:val="en-US"/>
    </w:rPr>
  </w:style>
  <w:style w:type="paragraph" w:customStyle="1" w:styleId="HE">
    <w:name w:val="HE"/>
    <w:basedOn w:val="Standard"/>
    <w:pPr>
      <w:widowControl/>
      <w:spacing w:after="0" w:line="240" w:lineRule="auto"/>
    </w:pPr>
    <w:rPr>
      <w:b/>
      <w:sz w:val="20"/>
    </w:rPr>
  </w:style>
  <w:style w:type="paragraph" w:customStyle="1" w:styleId="TAH">
    <w:name w:val="TAH"/>
    <w:basedOn w:val="Standard"/>
    <w:pPr>
      <w:keepNext/>
      <w:keepLines/>
      <w:widowControl/>
      <w:spacing w:after="0" w:line="240" w:lineRule="auto"/>
      <w:jc w:val="center"/>
    </w:pPr>
    <w:rPr>
      <w:b/>
      <w:sz w:val="18"/>
    </w:rPr>
  </w:style>
  <w:style w:type="paragraph" w:customStyle="1" w:styleId="NormalIndent">
    <w:name w:val="NormalIndent"/>
    <w:basedOn w:val="Standard"/>
    <w:pPr>
      <w:widowControl/>
      <w:ind w:left="720"/>
    </w:pPr>
    <w:rPr>
      <w:sz w:val="20"/>
      <w:lang w:val="it-IT"/>
    </w:rPr>
  </w:style>
  <w:style w:type="paragraph" w:styleId="Sprechblasentext">
    <w:name w:val="Balloon Text"/>
    <w:basedOn w:val="Standard"/>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Standard"/>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styleId="StandardWeb">
    <w:name w:val="Normal (Web)"/>
    <w:basedOn w:val="Standard"/>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
    <w:name w:val="Normal_"/>
    <w:basedOn w:val="Standard"/>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Standard"/>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Fett">
    <w:name w:val="Strong"/>
    <w:qFormat/>
    <w:rsid w:val="00F91DF0"/>
    <w:rPr>
      <w:b/>
      <w:bCs/>
    </w:rPr>
  </w:style>
  <w:style w:type="paragraph" w:customStyle="1" w:styleId="CRCoverPage">
    <w:name w:val="CR Cover Page"/>
    <w:rsid w:val="00D20723"/>
    <w:pPr>
      <w:spacing w:after="120"/>
    </w:pPr>
    <w:rPr>
      <w:rFonts w:ascii="Arial" w:eastAsia="Times New Roman" w:hAnsi="Arial"/>
      <w:lang w:val="en-GB" w:eastAsia="en-US"/>
    </w:rPr>
  </w:style>
  <w:style w:type="character" w:styleId="Kommentarzeichen">
    <w:name w:val="annotation reference"/>
    <w:rsid w:val="00D20723"/>
    <w:rPr>
      <w:sz w:val="16"/>
    </w:rPr>
  </w:style>
  <w:style w:type="paragraph" w:styleId="Dokumentstruktur">
    <w:name w:val="Document Map"/>
    <w:basedOn w:val="Standard"/>
    <w:link w:val="DokumentstrukturZchn"/>
    <w:rsid w:val="003D1ECB"/>
    <w:rPr>
      <w:rFonts w:ascii="Tahoma" w:hAnsi="Tahoma"/>
      <w:sz w:val="16"/>
      <w:szCs w:val="16"/>
      <w:lang w:eastAsia="x-none"/>
    </w:rPr>
  </w:style>
  <w:style w:type="character" w:customStyle="1" w:styleId="DokumentstrukturZchn">
    <w:name w:val="Dokumentstruktur Zchn"/>
    <w:link w:val="Dokumentstruktur"/>
    <w:rsid w:val="003D1ECB"/>
    <w:rPr>
      <w:rFonts w:ascii="Tahoma" w:hAnsi="Tahoma" w:cs="Tahoma"/>
      <w:sz w:val="16"/>
      <w:szCs w:val="16"/>
      <w:lang w:val="en-GB"/>
    </w:rPr>
  </w:style>
  <w:style w:type="character" w:customStyle="1" w:styleId="apple-style-span">
    <w:name w:val="apple-style-span"/>
    <w:basedOn w:val="Absatz-Standardschriftart"/>
    <w:rsid w:val="0023170E"/>
  </w:style>
  <w:style w:type="paragraph" w:styleId="NurText">
    <w:name w:val="Plain Text"/>
    <w:basedOn w:val="Standard"/>
    <w:link w:val="NurTextZchn"/>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NurTextZchn">
    <w:name w:val="Nur Text Zchn"/>
    <w:link w:val="Nur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enabsatz">
    <w:name w:val="List Paragraph"/>
    <w:basedOn w:val="Standard"/>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BesuchterLink">
    <w:name w:val="FollowedHyperlink"/>
    <w:rsid w:val="00555E3D"/>
    <w:rPr>
      <w:color w:val="954F72"/>
      <w:u w:val="single"/>
    </w:rPr>
  </w:style>
  <w:style w:type="table" w:styleId="Tabellenraster">
    <w:name w:val="Table Grid"/>
    <w:basedOn w:val="NormaleTabelle"/>
    <w:uiPriority w:val="59"/>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aliases w:val="H1 Zchn,Huvudrubrik Zchn,h1 Zchn,app heading 1 Zchn,l1 Zchn,h11 Zchn,h12 Zchn,h13 Zchn,h14 Zchn,h15 Zchn,h16 Zchn,Heading 1_a Zchn,Heading 1 (NN) Zchn,Titolo Sezione Zchn,Head 1 (Chapter heading) Zchn,Titre§ Zchn,1 Zchn,Forward Zchn"/>
    <w:basedOn w:val="Absatz-Standardschriftart"/>
    <w:link w:val="berschrift1"/>
    <w:uiPriority w:val="9"/>
    <w:rsid w:val="007A4CA9"/>
    <w:rPr>
      <w:rFonts w:ascii="Arial" w:hAnsi="Arial"/>
      <w:sz w:val="24"/>
      <w:lang w:val="en-GB" w:eastAsia="en-US"/>
    </w:rPr>
  </w:style>
  <w:style w:type="paragraph" w:styleId="Literaturverzeichnis">
    <w:name w:val="Bibliography"/>
    <w:basedOn w:val="Standard"/>
    <w:next w:val="Standard"/>
    <w:uiPriority w:val="37"/>
    <w:unhideWhenUsed/>
    <w:rsid w:val="007A4CA9"/>
  </w:style>
  <w:style w:type="paragraph" w:styleId="Beschriftung">
    <w:name w:val="caption"/>
    <w:basedOn w:val="Standard"/>
    <w:next w:val="Standard"/>
    <w:link w:val="BeschriftungZchn"/>
    <w:uiPriority w:val="35"/>
    <w:unhideWhenUsed/>
    <w:qFormat/>
    <w:rsid w:val="009E4F35"/>
    <w:pPr>
      <w:spacing w:after="200" w:line="240" w:lineRule="auto"/>
    </w:pPr>
    <w:rPr>
      <w:i/>
      <w:iCs/>
      <w:color w:val="44546A" w:themeColor="text2"/>
      <w:sz w:val="18"/>
      <w:szCs w:val="18"/>
    </w:rPr>
  </w:style>
  <w:style w:type="paragraph" w:styleId="Kommentartext">
    <w:name w:val="annotation text"/>
    <w:basedOn w:val="Standard"/>
    <w:link w:val="KommentartextZchn"/>
    <w:rsid w:val="00E76859"/>
    <w:pPr>
      <w:spacing w:line="240" w:lineRule="auto"/>
    </w:pPr>
    <w:rPr>
      <w:sz w:val="20"/>
    </w:rPr>
  </w:style>
  <w:style w:type="character" w:customStyle="1" w:styleId="KommentartextZchn">
    <w:name w:val="Kommentartext Zchn"/>
    <w:basedOn w:val="Absatz-Standardschriftart"/>
    <w:link w:val="Kommentartext"/>
    <w:rsid w:val="00E76859"/>
    <w:rPr>
      <w:rFonts w:ascii="Arial" w:hAnsi="Arial"/>
      <w:lang w:val="en-GB" w:eastAsia="en-US"/>
    </w:rPr>
  </w:style>
  <w:style w:type="paragraph" w:styleId="Kommentarthema">
    <w:name w:val="annotation subject"/>
    <w:basedOn w:val="Kommentartext"/>
    <w:next w:val="Kommentartext"/>
    <w:link w:val="KommentarthemaZchn"/>
    <w:rsid w:val="00E76859"/>
    <w:rPr>
      <w:b/>
      <w:bCs/>
    </w:rPr>
  </w:style>
  <w:style w:type="character" w:customStyle="1" w:styleId="KommentarthemaZchn">
    <w:name w:val="Kommentarthema Zchn"/>
    <w:basedOn w:val="KommentartextZchn"/>
    <w:link w:val="Kommentarthema"/>
    <w:rsid w:val="00E76859"/>
    <w:rPr>
      <w:rFonts w:ascii="Arial" w:hAnsi="Arial"/>
      <w:b/>
      <w:bCs/>
      <w:lang w:val="en-GB" w:eastAsia="en-US"/>
    </w:rPr>
  </w:style>
  <w:style w:type="character" w:styleId="Platzhaltertext">
    <w:name w:val="Placeholder Text"/>
    <w:basedOn w:val="Absatz-Standardschriftart"/>
    <w:uiPriority w:val="99"/>
    <w:semiHidden/>
    <w:rsid w:val="000B46C7"/>
    <w:rPr>
      <w:color w:val="808080"/>
    </w:rPr>
  </w:style>
  <w:style w:type="character" w:customStyle="1" w:styleId="BeschriftungZchn">
    <w:name w:val="Beschriftung Zchn"/>
    <w:link w:val="Beschriftung"/>
    <w:uiPriority w:val="35"/>
    <w:rsid w:val="00415128"/>
    <w:rPr>
      <w:rFonts w:ascii="Arial" w:hAnsi="Arial"/>
      <w:i/>
      <w:iCs/>
      <w:color w:val="44546A" w:themeColor="text2"/>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4291">
      <w:bodyDiv w:val="1"/>
      <w:marLeft w:val="0"/>
      <w:marRight w:val="0"/>
      <w:marTop w:val="0"/>
      <w:marBottom w:val="0"/>
      <w:divBdr>
        <w:top w:val="none" w:sz="0" w:space="0" w:color="auto"/>
        <w:left w:val="none" w:sz="0" w:space="0" w:color="auto"/>
        <w:bottom w:val="none" w:sz="0" w:space="0" w:color="auto"/>
        <w:right w:val="none" w:sz="0" w:space="0" w:color="auto"/>
      </w:divBdr>
    </w:div>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0981648">
      <w:bodyDiv w:val="1"/>
      <w:marLeft w:val="0"/>
      <w:marRight w:val="0"/>
      <w:marTop w:val="0"/>
      <w:marBottom w:val="0"/>
      <w:divBdr>
        <w:top w:val="none" w:sz="0" w:space="0" w:color="auto"/>
        <w:left w:val="none" w:sz="0" w:space="0" w:color="auto"/>
        <w:bottom w:val="none" w:sz="0" w:space="0" w:color="auto"/>
        <w:right w:val="none" w:sz="0" w:space="0" w:color="auto"/>
      </w:divBdr>
    </w:div>
    <w:div w:id="23555129">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71244258">
      <w:bodyDiv w:val="1"/>
      <w:marLeft w:val="0"/>
      <w:marRight w:val="0"/>
      <w:marTop w:val="0"/>
      <w:marBottom w:val="0"/>
      <w:divBdr>
        <w:top w:val="none" w:sz="0" w:space="0" w:color="auto"/>
        <w:left w:val="none" w:sz="0" w:space="0" w:color="auto"/>
        <w:bottom w:val="none" w:sz="0" w:space="0" w:color="auto"/>
        <w:right w:val="none" w:sz="0" w:space="0" w:color="auto"/>
      </w:divBdr>
    </w:div>
    <w:div w:id="97025495">
      <w:bodyDiv w:val="1"/>
      <w:marLeft w:val="0"/>
      <w:marRight w:val="0"/>
      <w:marTop w:val="0"/>
      <w:marBottom w:val="0"/>
      <w:divBdr>
        <w:top w:val="none" w:sz="0" w:space="0" w:color="auto"/>
        <w:left w:val="none" w:sz="0" w:space="0" w:color="auto"/>
        <w:bottom w:val="none" w:sz="0" w:space="0" w:color="auto"/>
        <w:right w:val="none" w:sz="0" w:space="0" w:color="auto"/>
      </w:divBdr>
    </w:div>
    <w:div w:id="97992274">
      <w:bodyDiv w:val="1"/>
      <w:marLeft w:val="0"/>
      <w:marRight w:val="0"/>
      <w:marTop w:val="0"/>
      <w:marBottom w:val="0"/>
      <w:divBdr>
        <w:top w:val="none" w:sz="0" w:space="0" w:color="auto"/>
        <w:left w:val="none" w:sz="0" w:space="0" w:color="auto"/>
        <w:bottom w:val="none" w:sz="0" w:space="0" w:color="auto"/>
        <w:right w:val="none" w:sz="0" w:space="0" w:color="auto"/>
      </w:divBdr>
    </w:div>
    <w:div w:id="99221968">
      <w:bodyDiv w:val="1"/>
      <w:marLeft w:val="0"/>
      <w:marRight w:val="0"/>
      <w:marTop w:val="0"/>
      <w:marBottom w:val="0"/>
      <w:divBdr>
        <w:top w:val="none" w:sz="0" w:space="0" w:color="auto"/>
        <w:left w:val="none" w:sz="0" w:space="0" w:color="auto"/>
        <w:bottom w:val="none" w:sz="0" w:space="0" w:color="auto"/>
        <w:right w:val="none" w:sz="0" w:space="0" w:color="auto"/>
      </w:divBdr>
    </w:div>
    <w:div w:id="104228714">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13523101">
      <w:bodyDiv w:val="1"/>
      <w:marLeft w:val="0"/>
      <w:marRight w:val="0"/>
      <w:marTop w:val="0"/>
      <w:marBottom w:val="0"/>
      <w:divBdr>
        <w:top w:val="none" w:sz="0" w:space="0" w:color="auto"/>
        <w:left w:val="none" w:sz="0" w:space="0" w:color="auto"/>
        <w:bottom w:val="none" w:sz="0" w:space="0" w:color="auto"/>
        <w:right w:val="none" w:sz="0" w:space="0" w:color="auto"/>
      </w:divBdr>
    </w:div>
    <w:div w:id="123931325">
      <w:bodyDiv w:val="1"/>
      <w:marLeft w:val="0"/>
      <w:marRight w:val="0"/>
      <w:marTop w:val="0"/>
      <w:marBottom w:val="0"/>
      <w:divBdr>
        <w:top w:val="none" w:sz="0" w:space="0" w:color="auto"/>
        <w:left w:val="none" w:sz="0" w:space="0" w:color="auto"/>
        <w:bottom w:val="none" w:sz="0" w:space="0" w:color="auto"/>
        <w:right w:val="none" w:sz="0" w:space="0" w:color="auto"/>
      </w:divBdr>
    </w:div>
    <w:div w:id="127011872">
      <w:bodyDiv w:val="1"/>
      <w:marLeft w:val="0"/>
      <w:marRight w:val="0"/>
      <w:marTop w:val="0"/>
      <w:marBottom w:val="0"/>
      <w:divBdr>
        <w:top w:val="none" w:sz="0" w:space="0" w:color="auto"/>
        <w:left w:val="none" w:sz="0" w:space="0" w:color="auto"/>
        <w:bottom w:val="none" w:sz="0" w:space="0" w:color="auto"/>
        <w:right w:val="none" w:sz="0" w:space="0" w:color="auto"/>
      </w:divBdr>
    </w:div>
    <w:div w:id="135614151">
      <w:bodyDiv w:val="1"/>
      <w:marLeft w:val="0"/>
      <w:marRight w:val="0"/>
      <w:marTop w:val="0"/>
      <w:marBottom w:val="0"/>
      <w:divBdr>
        <w:top w:val="none" w:sz="0" w:space="0" w:color="auto"/>
        <w:left w:val="none" w:sz="0" w:space="0" w:color="auto"/>
        <w:bottom w:val="none" w:sz="0" w:space="0" w:color="auto"/>
        <w:right w:val="none" w:sz="0" w:space="0" w:color="auto"/>
      </w:divBdr>
    </w:div>
    <w:div w:id="144013460">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58159096">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173110579">
      <w:bodyDiv w:val="1"/>
      <w:marLeft w:val="0"/>
      <w:marRight w:val="0"/>
      <w:marTop w:val="0"/>
      <w:marBottom w:val="0"/>
      <w:divBdr>
        <w:top w:val="none" w:sz="0" w:space="0" w:color="auto"/>
        <w:left w:val="none" w:sz="0" w:space="0" w:color="auto"/>
        <w:bottom w:val="none" w:sz="0" w:space="0" w:color="auto"/>
        <w:right w:val="none" w:sz="0" w:space="0" w:color="auto"/>
      </w:divBdr>
    </w:div>
    <w:div w:id="177041937">
      <w:bodyDiv w:val="1"/>
      <w:marLeft w:val="0"/>
      <w:marRight w:val="0"/>
      <w:marTop w:val="0"/>
      <w:marBottom w:val="0"/>
      <w:divBdr>
        <w:top w:val="none" w:sz="0" w:space="0" w:color="auto"/>
        <w:left w:val="none" w:sz="0" w:space="0" w:color="auto"/>
        <w:bottom w:val="none" w:sz="0" w:space="0" w:color="auto"/>
        <w:right w:val="none" w:sz="0" w:space="0" w:color="auto"/>
      </w:divBdr>
    </w:div>
    <w:div w:id="189032087">
      <w:bodyDiv w:val="1"/>
      <w:marLeft w:val="0"/>
      <w:marRight w:val="0"/>
      <w:marTop w:val="0"/>
      <w:marBottom w:val="0"/>
      <w:divBdr>
        <w:top w:val="none" w:sz="0" w:space="0" w:color="auto"/>
        <w:left w:val="none" w:sz="0" w:space="0" w:color="auto"/>
        <w:bottom w:val="none" w:sz="0" w:space="0" w:color="auto"/>
        <w:right w:val="none" w:sz="0" w:space="0" w:color="auto"/>
      </w:divBdr>
    </w:div>
    <w:div w:id="192765608">
      <w:bodyDiv w:val="1"/>
      <w:marLeft w:val="0"/>
      <w:marRight w:val="0"/>
      <w:marTop w:val="0"/>
      <w:marBottom w:val="0"/>
      <w:divBdr>
        <w:top w:val="none" w:sz="0" w:space="0" w:color="auto"/>
        <w:left w:val="none" w:sz="0" w:space="0" w:color="auto"/>
        <w:bottom w:val="none" w:sz="0" w:space="0" w:color="auto"/>
        <w:right w:val="none" w:sz="0" w:space="0" w:color="auto"/>
      </w:divBdr>
    </w:div>
    <w:div w:id="203757740">
      <w:bodyDiv w:val="1"/>
      <w:marLeft w:val="0"/>
      <w:marRight w:val="0"/>
      <w:marTop w:val="0"/>
      <w:marBottom w:val="0"/>
      <w:divBdr>
        <w:top w:val="none" w:sz="0" w:space="0" w:color="auto"/>
        <w:left w:val="none" w:sz="0" w:space="0" w:color="auto"/>
        <w:bottom w:val="none" w:sz="0" w:space="0" w:color="auto"/>
        <w:right w:val="none" w:sz="0" w:space="0" w:color="auto"/>
      </w:divBdr>
    </w:div>
    <w:div w:id="206918804">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26036502">
      <w:bodyDiv w:val="1"/>
      <w:marLeft w:val="0"/>
      <w:marRight w:val="0"/>
      <w:marTop w:val="0"/>
      <w:marBottom w:val="0"/>
      <w:divBdr>
        <w:top w:val="none" w:sz="0" w:space="0" w:color="auto"/>
        <w:left w:val="none" w:sz="0" w:space="0" w:color="auto"/>
        <w:bottom w:val="none" w:sz="0" w:space="0" w:color="auto"/>
        <w:right w:val="none" w:sz="0" w:space="0" w:color="auto"/>
      </w:divBdr>
    </w:div>
    <w:div w:id="226767774">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55721795">
      <w:bodyDiv w:val="1"/>
      <w:marLeft w:val="0"/>
      <w:marRight w:val="0"/>
      <w:marTop w:val="0"/>
      <w:marBottom w:val="0"/>
      <w:divBdr>
        <w:top w:val="none" w:sz="0" w:space="0" w:color="auto"/>
        <w:left w:val="none" w:sz="0" w:space="0" w:color="auto"/>
        <w:bottom w:val="none" w:sz="0" w:space="0" w:color="auto"/>
        <w:right w:val="none" w:sz="0" w:space="0" w:color="auto"/>
      </w:divBdr>
    </w:div>
    <w:div w:id="257056323">
      <w:bodyDiv w:val="1"/>
      <w:marLeft w:val="0"/>
      <w:marRight w:val="0"/>
      <w:marTop w:val="0"/>
      <w:marBottom w:val="0"/>
      <w:divBdr>
        <w:top w:val="none" w:sz="0" w:space="0" w:color="auto"/>
        <w:left w:val="none" w:sz="0" w:space="0" w:color="auto"/>
        <w:bottom w:val="none" w:sz="0" w:space="0" w:color="auto"/>
        <w:right w:val="none" w:sz="0" w:space="0" w:color="auto"/>
      </w:divBdr>
    </w:div>
    <w:div w:id="263274215">
      <w:bodyDiv w:val="1"/>
      <w:marLeft w:val="0"/>
      <w:marRight w:val="0"/>
      <w:marTop w:val="0"/>
      <w:marBottom w:val="0"/>
      <w:divBdr>
        <w:top w:val="none" w:sz="0" w:space="0" w:color="auto"/>
        <w:left w:val="none" w:sz="0" w:space="0" w:color="auto"/>
        <w:bottom w:val="none" w:sz="0" w:space="0" w:color="auto"/>
        <w:right w:val="none" w:sz="0" w:space="0" w:color="auto"/>
      </w:divBdr>
    </w:div>
    <w:div w:id="264928069">
      <w:bodyDiv w:val="1"/>
      <w:marLeft w:val="0"/>
      <w:marRight w:val="0"/>
      <w:marTop w:val="0"/>
      <w:marBottom w:val="0"/>
      <w:divBdr>
        <w:top w:val="none" w:sz="0" w:space="0" w:color="auto"/>
        <w:left w:val="none" w:sz="0" w:space="0" w:color="auto"/>
        <w:bottom w:val="none" w:sz="0" w:space="0" w:color="auto"/>
        <w:right w:val="none" w:sz="0" w:space="0" w:color="auto"/>
      </w:divBdr>
    </w:div>
    <w:div w:id="272834108">
      <w:bodyDiv w:val="1"/>
      <w:marLeft w:val="0"/>
      <w:marRight w:val="0"/>
      <w:marTop w:val="0"/>
      <w:marBottom w:val="0"/>
      <w:divBdr>
        <w:top w:val="none" w:sz="0" w:space="0" w:color="auto"/>
        <w:left w:val="none" w:sz="0" w:space="0" w:color="auto"/>
        <w:bottom w:val="none" w:sz="0" w:space="0" w:color="auto"/>
        <w:right w:val="none" w:sz="0" w:space="0" w:color="auto"/>
      </w:divBdr>
    </w:div>
    <w:div w:id="27776172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08555585">
      <w:bodyDiv w:val="1"/>
      <w:marLeft w:val="0"/>
      <w:marRight w:val="0"/>
      <w:marTop w:val="0"/>
      <w:marBottom w:val="0"/>
      <w:divBdr>
        <w:top w:val="none" w:sz="0" w:space="0" w:color="auto"/>
        <w:left w:val="none" w:sz="0" w:space="0" w:color="auto"/>
        <w:bottom w:val="none" w:sz="0" w:space="0" w:color="auto"/>
        <w:right w:val="none" w:sz="0" w:space="0" w:color="auto"/>
      </w:divBdr>
    </w:div>
    <w:div w:id="310670259">
      <w:bodyDiv w:val="1"/>
      <w:marLeft w:val="0"/>
      <w:marRight w:val="0"/>
      <w:marTop w:val="0"/>
      <w:marBottom w:val="0"/>
      <w:divBdr>
        <w:top w:val="none" w:sz="0" w:space="0" w:color="auto"/>
        <w:left w:val="none" w:sz="0" w:space="0" w:color="auto"/>
        <w:bottom w:val="none" w:sz="0" w:space="0" w:color="auto"/>
        <w:right w:val="none" w:sz="0" w:space="0" w:color="auto"/>
      </w:divBdr>
    </w:div>
    <w:div w:id="321202615">
      <w:bodyDiv w:val="1"/>
      <w:marLeft w:val="0"/>
      <w:marRight w:val="0"/>
      <w:marTop w:val="0"/>
      <w:marBottom w:val="0"/>
      <w:divBdr>
        <w:top w:val="none" w:sz="0" w:space="0" w:color="auto"/>
        <w:left w:val="none" w:sz="0" w:space="0" w:color="auto"/>
        <w:bottom w:val="none" w:sz="0" w:space="0" w:color="auto"/>
        <w:right w:val="none" w:sz="0" w:space="0" w:color="auto"/>
      </w:divBdr>
    </w:div>
    <w:div w:id="332807249">
      <w:bodyDiv w:val="1"/>
      <w:marLeft w:val="0"/>
      <w:marRight w:val="0"/>
      <w:marTop w:val="0"/>
      <w:marBottom w:val="0"/>
      <w:divBdr>
        <w:top w:val="none" w:sz="0" w:space="0" w:color="auto"/>
        <w:left w:val="none" w:sz="0" w:space="0" w:color="auto"/>
        <w:bottom w:val="none" w:sz="0" w:space="0" w:color="auto"/>
        <w:right w:val="none" w:sz="0" w:space="0" w:color="auto"/>
      </w:divBdr>
    </w:div>
    <w:div w:id="363865509">
      <w:bodyDiv w:val="1"/>
      <w:marLeft w:val="0"/>
      <w:marRight w:val="0"/>
      <w:marTop w:val="0"/>
      <w:marBottom w:val="0"/>
      <w:divBdr>
        <w:top w:val="none" w:sz="0" w:space="0" w:color="auto"/>
        <w:left w:val="none" w:sz="0" w:space="0" w:color="auto"/>
        <w:bottom w:val="none" w:sz="0" w:space="0" w:color="auto"/>
        <w:right w:val="none" w:sz="0" w:space="0" w:color="auto"/>
      </w:divBdr>
    </w:div>
    <w:div w:id="371347241">
      <w:bodyDiv w:val="1"/>
      <w:marLeft w:val="0"/>
      <w:marRight w:val="0"/>
      <w:marTop w:val="0"/>
      <w:marBottom w:val="0"/>
      <w:divBdr>
        <w:top w:val="none" w:sz="0" w:space="0" w:color="auto"/>
        <w:left w:val="none" w:sz="0" w:space="0" w:color="auto"/>
        <w:bottom w:val="none" w:sz="0" w:space="0" w:color="auto"/>
        <w:right w:val="none" w:sz="0" w:space="0" w:color="auto"/>
      </w:divBdr>
    </w:div>
    <w:div w:id="374546081">
      <w:bodyDiv w:val="1"/>
      <w:marLeft w:val="0"/>
      <w:marRight w:val="0"/>
      <w:marTop w:val="0"/>
      <w:marBottom w:val="0"/>
      <w:divBdr>
        <w:top w:val="none" w:sz="0" w:space="0" w:color="auto"/>
        <w:left w:val="none" w:sz="0" w:space="0" w:color="auto"/>
        <w:bottom w:val="none" w:sz="0" w:space="0" w:color="auto"/>
        <w:right w:val="none" w:sz="0" w:space="0" w:color="auto"/>
      </w:divBdr>
    </w:div>
    <w:div w:id="376897998">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396175659">
      <w:bodyDiv w:val="1"/>
      <w:marLeft w:val="0"/>
      <w:marRight w:val="0"/>
      <w:marTop w:val="0"/>
      <w:marBottom w:val="0"/>
      <w:divBdr>
        <w:top w:val="none" w:sz="0" w:space="0" w:color="auto"/>
        <w:left w:val="none" w:sz="0" w:space="0" w:color="auto"/>
        <w:bottom w:val="none" w:sz="0" w:space="0" w:color="auto"/>
        <w:right w:val="none" w:sz="0" w:space="0" w:color="auto"/>
      </w:divBdr>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931371">
      <w:bodyDiv w:val="1"/>
      <w:marLeft w:val="0"/>
      <w:marRight w:val="0"/>
      <w:marTop w:val="0"/>
      <w:marBottom w:val="0"/>
      <w:divBdr>
        <w:top w:val="none" w:sz="0" w:space="0" w:color="auto"/>
        <w:left w:val="none" w:sz="0" w:space="0" w:color="auto"/>
        <w:bottom w:val="none" w:sz="0" w:space="0" w:color="auto"/>
        <w:right w:val="none" w:sz="0" w:space="0" w:color="auto"/>
      </w:divBdr>
    </w:div>
    <w:div w:id="432169236">
      <w:bodyDiv w:val="1"/>
      <w:marLeft w:val="0"/>
      <w:marRight w:val="0"/>
      <w:marTop w:val="0"/>
      <w:marBottom w:val="0"/>
      <w:divBdr>
        <w:top w:val="none" w:sz="0" w:space="0" w:color="auto"/>
        <w:left w:val="none" w:sz="0" w:space="0" w:color="auto"/>
        <w:bottom w:val="none" w:sz="0" w:space="0" w:color="auto"/>
        <w:right w:val="none" w:sz="0" w:space="0" w:color="auto"/>
      </w:divBdr>
    </w:div>
    <w:div w:id="451561677">
      <w:bodyDiv w:val="1"/>
      <w:marLeft w:val="0"/>
      <w:marRight w:val="0"/>
      <w:marTop w:val="0"/>
      <w:marBottom w:val="0"/>
      <w:divBdr>
        <w:top w:val="none" w:sz="0" w:space="0" w:color="auto"/>
        <w:left w:val="none" w:sz="0" w:space="0" w:color="auto"/>
        <w:bottom w:val="none" w:sz="0" w:space="0" w:color="auto"/>
        <w:right w:val="none" w:sz="0" w:space="0" w:color="auto"/>
      </w:divBdr>
    </w:div>
    <w:div w:id="451903055">
      <w:bodyDiv w:val="1"/>
      <w:marLeft w:val="0"/>
      <w:marRight w:val="0"/>
      <w:marTop w:val="0"/>
      <w:marBottom w:val="0"/>
      <w:divBdr>
        <w:top w:val="none" w:sz="0" w:space="0" w:color="auto"/>
        <w:left w:val="none" w:sz="0" w:space="0" w:color="auto"/>
        <w:bottom w:val="none" w:sz="0" w:space="0" w:color="auto"/>
        <w:right w:val="none" w:sz="0" w:space="0" w:color="auto"/>
      </w:divBdr>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466895633">
      <w:bodyDiv w:val="1"/>
      <w:marLeft w:val="0"/>
      <w:marRight w:val="0"/>
      <w:marTop w:val="0"/>
      <w:marBottom w:val="0"/>
      <w:divBdr>
        <w:top w:val="none" w:sz="0" w:space="0" w:color="auto"/>
        <w:left w:val="none" w:sz="0" w:space="0" w:color="auto"/>
        <w:bottom w:val="none" w:sz="0" w:space="0" w:color="auto"/>
        <w:right w:val="none" w:sz="0" w:space="0" w:color="auto"/>
      </w:divBdr>
    </w:div>
    <w:div w:id="479932116">
      <w:bodyDiv w:val="1"/>
      <w:marLeft w:val="0"/>
      <w:marRight w:val="0"/>
      <w:marTop w:val="0"/>
      <w:marBottom w:val="0"/>
      <w:divBdr>
        <w:top w:val="none" w:sz="0" w:space="0" w:color="auto"/>
        <w:left w:val="none" w:sz="0" w:space="0" w:color="auto"/>
        <w:bottom w:val="none" w:sz="0" w:space="0" w:color="auto"/>
        <w:right w:val="none" w:sz="0" w:space="0" w:color="auto"/>
      </w:divBdr>
    </w:div>
    <w:div w:id="489249083">
      <w:bodyDiv w:val="1"/>
      <w:marLeft w:val="0"/>
      <w:marRight w:val="0"/>
      <w:marTop w:val="0"/>
      <w:marBottom w:val="0"/>
      <w:divBdr>
        <w:top w:val="none" w:sz="0" w:space="0" w:color="auto"/>
        <w:left w:val="none" w:sz="0" w:space="0" w:color="auto"/>
        <w:bottom w:val="none" w:sz="0" w:space="0" w:color="auto"/>
        <w:right w:val="none" w:sz="0" w:space="0" w:color="auto"/>
      </w:divBdr>
    </w:div>
    <w:div w:id="500006512">
      <w:bodyDiv w:val="1"/>
      <w:marLeft w:val="0"/>
      <w:marRight w:val="0"/>
      <w:marTop w:val="0"/>
      <w:marBottom w:val="0"/>
      <w:divBdr>
        <w:top w:val="none" w:sz="0" w:space="0" w:color="auto"/>
        <w:left w:val="none" w:sz="0" w:space="0" w:color="auto"/>
        <w:bottom w:val="none" w:sz="0" w:space="0" w:color="auto"/>
        <w:right w:val="none" w:sz="0" w:space="0" w:color="auto"/>
      </w:divBdr>
    </w:div>
    <w:div w:id="520632958">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211962">
      <w:bodyDiv w:val="1"/>
      <w:marLeft w:val="0"/>
      <w:marRight w:val="0"/>
      <w:marTop w:val="0"/>
      <w:marBottom w:val="0"/>
      <w:divBdr>
        <w:top w:val="none" w:sz="0" w:space="0" w:color="auto"/>
        <w:left w:val="none" w:sz="0" w:space="0" w:color="auto"/>
        <w:bottom w:val="none" w:sz="0" w:space="0" w:color="auto"/>
        <w:right w:val="none" w:sz="0" w:space="0" w:color="auto"/>
      </w:divBdr>
    </w:div>
    <w:div w:id="551380669">
      <w:bodyDiv w:val="1"/>
      <w:marLeft w:val="0"/>
      <w:marRight w:val="0"/>
      <w:marTop w:val="0"/>
      <w:marBottom w:val="0"/>
      <w:divBdr>
        <w:top w:val="none" w:sz="0" w:space="0" w:color="auto"/>
        <w:left w:val="none" w:sz="0" w:space="0" w:color="auto"/>
        <w:bottom w:val="none" w:sz="0" w:space="0" w:color="auto"/>
        <w:right w:val="none" w:sz="0" w:space="0" w:color="auto"/>
      </w:divBdr>
    </w:div>
    <w:div w:id="558714086">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01113499">
      <w:bodyDiv w:val="1"/>
      <w:marLeft w:val="0"/>
      <w:marRight w:val="0"/>
      <w:marTop w:val="0"/>
      <w:marBottom w:val="0"/>
      <w:divBdr>
        <w:top w:val="none" w:sz="0" w:space="0" w:color="auto"/>
        <w:left w:val="none" w:sz="0" w:space="0" w:color="auto"/>
        <w:bottom w:val="none" w:sz="0" w:space="0" w:color="auto"/>
        <w:right w:val="none" w:sz="0" w:space="0" w:color="auto"/>
      </w:divBdr>
    </w:div>
    <w:div w:id="608006646">
      <w:bodyDiv w:val="1"/>
      <w:marLeft w:val="0"/>
      <w:marRight w:val="0"/>
      <w:marTop w:val="0"/>
      <w:marBottom w:val="0"/>
      <w:divBdr>
        <w:top w:val="none" w:sz="0" w:space="0" w:color="auto"/>
        <w:left w:val="none" w:sz="0" w:space="0" w:color="auto"/>
        <w:bottom w:val="none" w:sz="0" w:space="0" w:color="auto"/>
        <w:right w:val="none" w:sz="0" w:space="0" w:color="auto"/>
      </w:divBdr>
    </w:div>
    <w:div w:id="625543463">
      <w:bodyDiv w:val="1"/>
      <w:marLeft w:val="0"/>
      <w:marRight w:val="0"/>
      <w:marTop w:val="0"/>
      <w:marBottom w:val="0"/>
      <w:divBdr>
        <w:top w:val="none" w:sz="0" w:space="0" w:color="auto"/>
        <w:left w:val="none" w:sz="0" w:space="0" w:color="auto"/>
        <w:bottom w:val="none" w:sz="0" w:space="0" w:color="auto"/>
        <w:right w:val="none" w:sz="0" w:space="0" w:color="auto"/>
      </w:divBdr>
    </w:div>
    <w:div w:id="650719009">
      <w:bodyDiv w:val="1"/>
      <w:marLeft w:val="0"/>
      <w:marRight w:val="0"/>
      <w:marTop w:val="0"/>
      <w:marBottom w:val="0"/>
      <w:divBdr>
        <w:top w:val="none" w:sz="0" w:space="0" w:color="auto"/>
        <w:left w:val="none" w:sz="0" w:space="0" w:color="auto"/>
        <w:bottom w:val="none" w:sz="0" w:space="0" w:color="auto"/>
        <w:right w:val="none" w:sz="0" w:space="0" w:color="auto"/>
      </w:divBdr>
    </w:div>
    <w:div w:id="657811234">
      <w:bodyDiv w:val="1"/>
      <w:marLeft w:val="0"/>
      <w:marRight w:val="0"/>
      <w:marTop w:val="0"/>
      <w:marBottom w:val="0"/>
      <w:divBdr>
        <w:top w:val="none" w:sz="0" w:space="0" w:color="auto"/>
        <w:left w:val="none" w:sz="0" w:space="0" w:color="auto"/>
        <w:bottom w:val="none" w:sz="0" w:space="0" w:color="auto"/>
        <w:right w:val="none" w:sz="0" w:space="0" w:color="auto"/>
      </w:divBdr>
    </w:div>
    <w:div w:id="698165026">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0347537">
      <w:bodyDiv w:val="1"/>
      <w:marLeft w:val="0"/>
      <w:marRight w:val="0"/>
      <w:marTop w:val="0"/>
      <w:marBottom w:val="0"/>
      <w:divBdr>
        <w:top w:val="none" w:sz="0" w:space="0" w:color="auto"/>
        <w:left w:val="none" w:sz="0" w:space="0" w:color="auto"/>
        <w:bottom w:val="none" w:sz="0" w:space="0" w:color="auto"/>
        <w:right w:val="none" w:sz="0" w:space="0" w:color="auto"/>
      </w:divBdr>
    </w:div>
    <w:div w:id="713429754">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15786107">
      <w:bodyDiv w:val="1"/>
      <w:marLeft w:val="0"/>
      <w:marRight w:val="0"/>
      <w:marTop w:val="0"/>
      <w:marBottom w:val="0"/>
      <w:divBdr>
        <w:top w:val="none" w:sz="0" w:space="0" w:color="auto"/>
        <w:left w:val="none" w:sz="0" w:space="0" w:color="auto"/>
        <w:bottom w:val="none" w:sz="0" w:space="0" w:color="auto"/>
        <w:right w:val="none" w:sz="0" w:space="0" w:color="auto"/>
      </w:divBdr>
    </w:div>
    <w:div w:id="724529818">
      <w:bodyDiv w:val="1"/>
      <w:marLeft w:val="0"/>
      <w:marRight w:val="0"/>
      <w:marTop w:val="0"/>
      <w:marBottom w:val="0"/>
      <w:divBdr>
        <w:top w:val="none" w:sz="0" w:space="0" w:color="auto"/>
        <w:left w:val="none" w:sz="0" w:space="0" w:color="auto"/>
        <w:bottom w:val="none" w:sz="0" w:space="0" w:color="auto"/>
        <w:right w:val="none" w:sz="0" w:space="0" w:color="auto"/>
      </w:divBdr>
    </w:div>
    <w:div w:id="745372907">
      <w:bodyDiv w:val="1"/>
      <w:marLeft w:val="0"/>
      <w:marRight w:val="0"/>
      <w:marTop w:val="0"/>
      <w:marBottom w:val="0"/>
      <w:divBdr>
        <w:top w:val="none" w:sz="0" w:space="0" w:color="auto"/>
        <w:left w:val="none" w:sz="0" w:space="0" w:color="auto"/>
        <w:bottom w:val="none" w:sz="0" w:space="0" w:color="auto"/>
        <w:right w:val="none" w:sz="0" w:space="0" w:color="auto"/>
      </w:divBdr>
    </w:div>
    <w:div w:id="751853492">
      <w:bodyDiv w:val="1"/>
      <w:marLeft w:val="0"/>
      <w:marRight w:val="0"/>
      <w:marTop w:val="0"/>
      <w:marBottom w:val="0"/>
      <w:divBdr>
        <w:top w:val="none" w:sz="0" w:space="0" w:color="auto"/>
        <w:left w:val="none" w:sz="0" w:space="0" w:color="auto"/>
        <w:bottom w:val="none" w:sz="0" w:space="0" w:color="auto"/>
        <w:right w:val="none" w:sz="0" w:space="0" w:color="auto"/>
      </w:divBdr>
    </w:div>
    <w:div w:id="759717896">
      <w:bodyDiv w:val="1"/>
      <w:marLeft w:val="0"/>
      <w:marRight w:val="0"/>
      <w:marTop w:val="0"/>
      <w:marBottom w:val="0"/>
      <w:divBdr>
        <w:top w:val="none" w:sz="0" w:space="0" w:color="auto"/>
        <w:left w:val="none" w:sz="0" w:space="0" w:color="auto"/>
        <w:bottom w:val="none" w:sz="0" w:space="0" w:color="auto"/>
        <w:right w:val="none" w:sz="0" w:space="0" w:color="auto"/>
      </w:divBdr>
    </w:div>
    <w:div w:id="760489792">
      <w:bodyDiv w:val="1"/>
      <w:marLeft w:val="0"/>
      <w:marRight w:val="0"/>
      <w:marTop w:val="0"/>
      <w:marBottom w:val="0"/>
      <w:divBdr>
        <w:top w:val="none" w:sz="0" w:space="0" w:color="auto"/>
        <w:left w:val="none" w:sz="0" w:space="0" w:color="auto"/>
        <w:bottom w:val="none" w:sz="0" w:space="0" w:color="auto"/>
        <w:right w:val="none" w:sz="0" w:space="0" w:color="auto"/>
      </w:divBdr>
    </w:div>
    <w:div w:id="763957757">
      <w:bodyDiv w:val="1"/>
      <w:marLeft w:val="0"/>
      <w:marRight w:val="0"/>
      <w:marTop w:val="0"/>
      <w:marBottom w:val="0"/>
      <w:divBdr>
        <w:top w:val="none" w:sz="0" w:space="0" w:color="auto"/>
        <w:left w:val="none" w:sz="0" w:space="0" w:color="auto"/>
        <w:bottom w:val="none" w:sz="0" w:space="0" w:color="auto"/>
        <w:right w:val="none" w:sz="0" w:space="0" w:color="auto"/>
      </w:divBdr>
    </w:div>
    <w:div w:id="766341063">
      <w:bodyDiv w:val="1"/>
      <w:marLeft w:val="0"/>
      <w:marRight w:val="0"/>
      <w:marTop w:val="0"/>
      <w:marBottom w:val="0"/>
      <w:divBdr>
        <w:top w:val="none" w:sz="0" w:space="0" w:color="auto"/>
        <w:left w:val="none" w:sz="0" w:space="0" w:color="auto"/>
        <w:bottom w:val="none" w:sz="0" w:space="0" w:color="auto"/>
        <w:right w:val="none" w:sz="0" w:space="0" w:color="auto"/>
      </w:divBdr>
    </w:div>
    <w:div w:id="767190870">
      <w:bodyDiv w:val="1"/>
      <w:marLeft w:val="0"/>
      <w:marRight w:val="0"/>
      <w:marTop w:val="0"/>
      <w:marBottom w:val="0"/>
      <w:divBdr>
        <w:top w:val="none" w:sz="0" w:space="0" w:color="auto"/>
        <w:left w:val="none" w:sz="0" w:space="0" w:color="auto"/>
        <w:bottom w:val="none" w:sz="0" w:space="0" w:color="auto"/>
        <w:right w:val="none" w:sz="0" w:space="0" w:color="auto"/>
      </w:divBdr>
    </w:div>
    <w:div w:id="768813828">
      <w:bodyDiv w:val="1"/>
      <w:marLeft w:val="0"/>
      <w:marRight w:val="0"/>
      <w:marTop w:val="0"/>
      <w:marBottom w:val="0"/>
      <w:divBdr>
        <w:top w:val="none" w:sz="0" w:space="0" w:color="auto"/>
        <w:left w:val="none" w:sz="0" w:space="0" w:color="auto"/>
        <w:bottom w:val="none" w:sz="0" w:space="0" w:color="auto"/>
        <w:right w:val="none" w:sz="0" w:space="0" w:color="auto"/>
      </w:divBdr>
    </w:div>
    <w:div w:id="778452542">
      <w:bodyDiv w:val="1"/>
      <w:marLeft w:val="0"/>
      <w:marRight w:val="0"/>
      <w:marTop w:val="0"/>
      <w:marBottom w:val="0"/>
      <w:divBdr>
        <w:top w:val="none" w:sz="0" w:space="0" w:color="auto"/>
        <w:left w:val="none" w:sz="0" w:space="0" w:color="auto"/>
        <w:bottom w:val="none" w:sz="0" w:space="0" w:color="auto"/>
        <w:right w:val="none" w:sz="0" w:space="0" w:color="auto"/>
      </w:divBdr>
    </w:div>
    <w:div w:id="783887368">
      <w:bodyDiv w:val="1"/>
      <w:marLeft w:val="0"/>
      <w:marRight w:val="0"/>
      <w:marTop w:val="0"/>
      <w:marBottom w:val="0"/>
      <w:divBdr>
        <w:top w:val="none" w:sz="0" w:space="0" w:color="auto"/>
        <w:left w:val="none" w:sz="0" w:space="0" w:color="auto"/>
        <w:bottom w:val="none" w:sz="0" w:space="0" w:color="auto"/>
        <w:right w:val="none" w:sz="0" w:space="0" w:color="auto"/>
      </w:divBdr>
    </w:div>
    <w:div w:id="789857671">
      <w:bodyDiv w:val="1"/>
      <w:marLeft w:val="0"/>
      <w:marRight w:val="0"/>
      <w:marTop w:val="0"/>
      <w:marBottom w:val="0"/>
      <w:divBdr>
        <w:top w:val="none" w:sz="0" w:space="0" w:color="auto"/>
        <w:left w:val="none" w:sz="0" w:space="0" w:color="auto"/>
        <w:bottom w:val="none" w:sz="0" w:space="0" w:color="auto"/>
        <w:right w:val="none" w:sz="0" w:space="0" w:color="auto"/>
      </w:divBdr>
    </w:div>
    <w:div w:id="796216572">
      <w:bodyDiv w:val="1"/>
      <w:marLeft w:val="0"/>
      <w:marRight w:val="0"/>
      <w:marTop w:val="0"/>
      <w:marBottom w:val="0"/>
      <w:divBdr>
        <w:top w:val="none" w:sz="0" w:space="0" w:color="auto"/>
        <w:left w:val="none" w:sz="0" w:space="0" w:color="auto"/>
        <w:bottom w:val="none" w:sz="0" w:space="0" w:color="auto"/>
        <w:right w:val="none" w:sz="0" w:space="0" w:color="auto"/>
      </w:divBdr>
    </w:div>
    <w:div w:id="816073571">
      <w:bodyDiv w:val="1"/>
      <w:marLeft w:val="0"/>
      <w:marRight w:val="0"/>
      <w:marTop w:val="0"/>
      <w:marBottom w:val="0"/>
      <w:divBdr>
        <w:top w:val="none" w:sz="0" w:space="0" w:color="auto"/>
        <w:left w:val="none" w:sz="0" w:space="0" w:color="auto"/>
        <w:bottom w:val="none" w:sz="0" w:space="0" w:color="auto"/>
        <w:right w:val="none" w:sz="0" w:space="0" w:color="auto"/>
      </w:divBdr>
    </w:div>
    <w:div w:id="825247923">
      <w:bodyDiv w:val="1"/>
      <w:marLeft w:val="0"/>
      <w:marRight w:val="0"/>
      <w:marTop w:val="0"/>
      <w:marBottom w:val="0"/>
      <w:divBdr>
        <w:top w:val="none" w:sz="0" w:space="0" w:color="auto"/>
        <w:left w:val="none" w:sz="0" w:space="0" w:color="auto"/>
        <w:bottom w:val="none" w:sz="0" w:space="0" w:color="auto"/>
        <w:right w:val="none" w:sz="0" w:space="0" w:color="auto"/>
      </w:divBdr>
    </w:div>
    <w:div w:id="828524492">
      <w:bodyDiv w:val="1"/>
      <w:marLeft w:val="0"/>
      <w:marRight w:val="0"/>
      <w:marTop w:val="0"/>
      <w:marBottom w:val="0"/>
      <w:divBdr>
        <w:top w:val="none" w:sz="0" w:space="0" w:color="auto"/>
        <w:left w:val="none" w:sz="0" w:space="0" w:color="auto"/>
        <w:bottom w:val="none" w:sz="0" w:space="0" w:color="auto"/>
        <w:right w:val="none" w:sz="0" w:space="0" w:color="auto"/>
      </w:divBdr>
    </w:div>
    <w:div w:id="830021543">
      <w:bodyDiv w:val="1"/>
      <w:marLeft w:val="0"/>
      <w:marRight w:val="0"/>
      <w:marTop w:val="0"/>
      <w:marBottom w:val="0"/>
      <w:divBdr>
        <w:top w:val="none" w:sz="0" w:space="0" w:color="auto"/>
        <w:left w:val="none" w:sz="0" w:space="0" w:color="auto"/>
        <w:bottom w:val="none" w:sz="0" w:space="0" w:color="auto"/>
        <w:right w:val="none" w:sz="0" w:space="0" w:color="auto"/>
      </w:divBdr>
    </w:div>
    <w:div w:id="831290968">
      <w:bodyDiv w:val="1"/>
      <w:marLeft w:val="0"/>
      <w:marRight w:val="0"/>
      <w:marTop w:val="0"/>
      <w:marBottom w:val="0"/>
      <w:divBdr>
        <w:top w:val="none" w:sz="0" w:space="0" w:color="auto"/>
        <w:left w:val="none" w:sz="0" w:space="0" w:color="auto"/>
        <w:bottom w:val="none" w:sz="0" w:space="0" w:color="auto"/>
        <w:right w:val="none" w:sz="0" w:space="0" w:color="auto"/>
      </w:divBdr>
    </w:div>
    <w:div w:id="843203730">
      <w:bodyDiv w:val="1"/>
      <w:marLeft w:val="0"/>
      <w:marRight w:val="0"/>
      <w:marTop w:val="0"/>
      <w:marBottom w:val="0"/>
      <w:divBdr>
        <w:top w:val="none" w:sz="0" w:space="0" w:color="auto"/>
        <w:left w:val="none" w:sz="0" w:space="0" w:color="auto"/>
        <w:bottom w:val="none" w:sz="0" w:space="0" w:color="auto"/>
        <w:right w:val="none" w:sz="0" w:space="0" w:color="auto"/>
      </w:divBdr>
    </w:div>
    <w:div w:id="845899402">
      <w:bodyDiv w:val="1"/>
      <w:marLeft w:val="0"/>
      <w:marRight w:val="0"/>
      <w:marTop w:val="0"/>
      <w:marBottom w:val="0"/>
      <w:divBdr>
        <w:top w:val="none" w:sz="0" w:space="0" w:color="auto"/>
        <w:left w:val="none" w:sz="0" w:space="0" w:color="auto"/>
        <w:bottom w:val="none" w:sz="0" w:space="0" w:color="auto"/>
        <w:right w:val="none" w:sz="0" w:space="0" w:color="auto"/>
      </w:divBdr>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1575092">
      <w:bodyDiv w:val="1"/>
      <w:marLeft w:val="0"/>
      <w:marRight w:val="0"/>
      <w:marTop w:val="0"/>
      <w:marBottom w:val="0"/>
      <w:divBdr>
        <w:top w:val="none" w:sz="0" w:space="0" w:color="auto"/>
        <w:left w:val="none" w:sz="0" w:space="0" w:color="auto"/>
        <w:bottom w:val="none" w:sz="0" w:space="0" w:color="auto"/>
        <w:right w:val="none" w:sz="0" w:space="0" w:color="auto"/>
      </w:divBdr>
    </w:div>
    <w:div w:id="880165698">
      <w:bodyDiv w:val="1"/>
      <w:marLeft w:val="0"/>
      <w:marRight w:val="0"/>
      <w:marTop w:val="0"/>
      <w:marBottom w:val="0"/>
      <w:divBdr>
        <w:top w:val="none" w:sz="0" w:space="0" w:color="auto"/>
        <w:left w:val="none" w:sz="0" w:space="0" w:color="auto"/>
        <w:bottom w:val="none" w:sz="0" w:space="0" w:color="auto"/>
        <w:right w:val="none" w:sz="0" w:space="0" w:color="auto"/>
      </w:divBdr>
    </w:div>
    <w:div w:id="881480092">
      <w:bodyDiv w:val="1"/>
      <w:marLeft w:val="0"/>
      <w:marRight w:val="0"/>
      <w:marTop w:val="0"/>
      <w:marBottom w:val="0"/>
      <w:divBdr>
        <w:top w:val="none" w:sz="0" w:space="0" w:color="auto"/>
        <w:left w:val="none" w:sz="0" w:space="0" w:color="auto"/>
        <w:bottom w:val="none" w:sz="0" w:space="0" w:color="auto"/>
        <w:right w:val="none" w:sz="0" w:space="0" w:color="auto"/>
      </w:divBdr>
    </w:div>
    <w:div w:id="938946093">
      <w:bodyDiv w:val="1"/>
      <w:marLeft w:val="0"/>
      <w:marRight w:val="0"/>
      <w:marTop w:val="0"/>
      <w:marBottom w:val="0"/>
      <w:divBdr>
        <w:top w:val="none" w:sz="0" w:space="0" w:color="auto"/>
        <w:left w:val="none" w:sz="0" w:space="0" w:color="auto"/>
        <w:bottom w:val="none" w:sz="0" w:space="0" w:color="auto"/>
        <w:right w:val="none" w:sz="0" w:space="0" w:color="auto"/>
      </w:divBdr>
    </w:div>
    <w:div w:id="950748984">
      <w:bodyDiv w:val="1"/>
      <w:marLeft w:val="0"/>
      <w:marRight w:val="0"/>
      <w:marTop w:val="0"/>
      <w:marBottom w:val="0"/>
      <w:divBdr>
        <w:top w:val="none" w:sz="0" w:space="0" w:color="auto"/>
        <w:left w:val="none" w:sz="0" w:space="0" w:color="auto"/>
        <w:bottom w:val="none" w:sz="0" w:space="0" w:color="auto"/>
        <w:right w:val="none" w:sz="0" w:space="0" w:color="auto"/>
      </w:divBdr>
    </w:div>
    <w:div w:id="952126548">
      <w:bodyDiv w:val="1"/>
      <w:marLeft w:val="0"/>
      <w:marRight w:val="0"/>
      <w:marTop w:val="0"/>
      <w:marBottom w:val="0"/>
      <w:divBdr>
        <w:top w:val="none" w:sz="0" w:space="0" w:color="auto"/>
        <w:left w:val="none" w:sz="0" w:space="0" w:color="auto"/>
        <w:bottom w:val="none" w:sz="0" w:space="0" w:color="auto"/>
        <w:right w:val="none" w:sz="0" w:space="0" w:color="auto"/>
      </w:divBdr>
    </w:div>
    <w:div w:id="961812651">
      <w:bodyDiv w:val="1"/>
      <w:marLeft w:val="0"/>
      <w:marRight w:val="0"/>
      <w:marTop w:val="0"/>
      <w:marBottom w:val="0"/>
      <w:divBdr>
        <w:top w:val="none" w:sz="0" w:space="0" w:color="auto"/>
        <w:left w:val="none" w:sz="0" w:space="0" w:color="auto"/>
        <w:bottom w:val="none" w:sz="0" w:space="0" w:color="auto"/>
        <w:right w:val="none" w:sz="0" w:space="0" w:color="auto"/>
      </w:divBdr>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92955128">
      <w:bodyDiv w:val="1"/>
      <w:marLeft w:val="0"/>
      <w:marRight w:val="0"/>
      <w:marTop w:val="0"/>
      <w:marBottom w:val="0"/>
      <w:divBdr>
        <w:top w:val="none" w:sz="0" w:space="0" w:color="auto"/>
        <w:left w:val="none" w:sz="0" w:space="0" w:color="auto"/>
        <w:bottom w:val="none" w:sz="0" w:space="0" w:color="auto"/>
        <w:right w:val="none" w:sz="0" w:space="0" w:color="auto"/>
      </w:divBdr>
    </w:div>
    <w:div w:id="999502756">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15227256">
      <w:bodyDiv w:val="1"/>
      <w:marLeft w:val="0"/>
      <w:marRight w:val="0"/>
      <w:marTop w:val="0"/>
      <w:marBottom w:val="0"/>
      <w:divBdr>
        <w:top w:val="none" w:sz="0" w:space="0" w:color="auto"/>
        <w:left w:val="none" w:sz="0" w:space="0" w:color="auto"/>
        <w:bottom w:val="none" w:sz="0" w:space="0" w:color="auto"/>
        <w:right w:val="none" w:sz="0" w:space="0" w:color="auto"/>
      </w:divBdr>
    </w:div>
    <w:div w:id="1019505319">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31147280">
      <w:bodyDiv w:val="1"/>
      <w:marLeft w:val="0"/>
      <w:marRight w:val="0"/>
      <w:marTop w:val="0"/>
      <w:marBottom w:val="0"/>
      <w:divBdr>
        <w:top w:val="none" w:sz="0" w:space="0" w:color="auto"/>
        <w:left w:val="none" w:sz="0" w:space="0" w:color="auto"/>
        <w:bottom w:val="none" w:sz="0" w:space="0" w:color="auto"/>
        <w:right w:val="none" w:sz="0" w:space="0" w:color="auto"/>
      </w:divBdr>
    </w:div>
    <w:div w:id="1048184697">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81490583">
      <w:bodyDiv w:val="1"/>
      <w:marLeft w:val="0"/>
      <w:marRight w:val="0"/>
      <w:marTop w:val="0"/>
      <w:marBottom w:val="0"/>
      <w:divBdr>
        <w:top w:val="none" w:sz="0" w:space="0" w:color="auto"/>
        <w:left w:val="none" w:sz="0" w:space="0" w:color="auto"/>
        <w:bottom w:val="none" w:sz="0" w:space="0" w:color="auto"/>
        <w:right w:val="none" w:sz="0" w:space="0" w:color="auto"/>
      </w:divBdr>
    </w:div>
    <w:div w:id="1094546534">
      <w:bodyDiv w:val="1"/>
      <w:marLeft w:val="0"/>
      <w:marRight w:val="0"/>
      <w:marTop w:val="0"/>
      <w:marBottom w:val="0"/>
      <w:divBdr>
        <w:top w:val="none" w:sz="0" w:space="0" w:color="auto"/>
        <w:left w:val="none" w:sz="0" w:space="0" w:color="auto"/>
        <w:bottom w:val="none" w:sz="0" w:space="0" w:color="auto"/>
        <w:right w:val="none" w:sz="0" w:space="0" w:color="auto"/>
      </w:divBdr>
    </w:div>
    <w:div w:id="1096287402">
      <w:bodyDiv w:val="1"/>
      <w:marLeft w:val="0"/>
      <w:marRight w:val="0"/>
      <w:marTop w:val="0"/>
      <w:marBottom w:val="0"/>
      <w:divBdr>
        <w:top w:val="none" w:sz="0" w:space="0" w:color="auto"/>
        <w:left w:val="none" w:sz="0" w:space="0" w:color="auto"/>
        <w:bottom w:val="none" w:sz="0" w:space="0" w:color="auto"/>
        <w:right w:val="none" w:sz="0" w:space="0" w:color="auto"/>
      </w:divBdr>
    </w:div>
    <w:div w:id="1102267243">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35832225">
      <w:bodyDiv w:val="1"/>
      <w:marLeft w:val="0"/>
      <w:marRight w:val="0"/>
      <w:marTop w:val="0"/>
      <w:marBottom w:val="0"/>
      <w:divBdr>
        <w:top w:val="none" w:sz="0" w:space="0" w:color="auto"/>
        <w:left w:val="none" w:sz="0" w:space="0" w:color="auto"/>
        <w:bottom w:val="none" w:sz="0" w:space="0" w:color="auto"/>
        <w:right w:val="none" w:sz="0" w:space="0" w:color="auto"/>
      </w:divBdr>
    </w:div>
    <w:div w:id="1137257375">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3133962">
      <w:bodyDiv w:val="1"/>
      <w:marLeft w:val="0"/>
      <w:marRight w:val="0"/>
      <w:marTop w:val="0"/>
      <w:marBottom w:val="0"/>
      <w:divBdr>
        <w:top w:val="none" w:sz="0" w:space="0" w:color="auto"/>
        <w:left w:val="none" w:sz="0" w:space="0" w:color="auto"/>
        <w:bottom w:val="none" w:sz="0" w:space="0" w:color="auto"/>
        <w:right w:val="none" w:sz="0" w:space="0" w:color="auto"/>
      </w:divBdr>
    </w:div>
    <w:div w:id="1158616594">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67943541">
      <w:bodyDiv w:val="1"/>
      <w:marLeft w:val="0"/>
      <w:marRight w:val="0"/>
      <w:marTop w:val="0"/>
      <w:marBottom w:val="0"/>
      <w:divBdr>
        <w:top w:val="none" w:sz="0" w:space="0" w:color="auto"/>
        <w:left w:val="none" w:sz="0" w:space="0" w:color="auto"/>
        <w:bottom w:val="none" w:sz="0" w:space="0" w:color="auto"/>
        <w:right w:val="none" w:sz="0" w:space="0" w:color="auto"/>
      </w:divBdr>
    </w:div>
    <w:div w:id="1169365522">
      <w:bodyDiv w:val="1"/>
      <w:marLeft w:val="0"/>
      <w:marRight w:val="0"/>
      <w:marTop w:val="0"/>
      <w:marBottom w:val="0"/>
      <w:divBdr>
        <w:top w:val="none" w:sz="0" w:space="0" w:color="auto"/>
        <w:left w:val="none" w:sz="0" w:space="0" w:color="auto"/>
        <w:bottom w:val="none" w:sz="0" w:space="0" w:color="auto"/>
        <w:right w:val="none" w:sz="0" w:space="0" w:color="auto"/>
      </w:divBdr>
    </w:div>
    <w:div w:id="1179732985">
      <w:bodyDiv w:val="1"/>
      <w:marLeft w:val="0"/>
      <w:marRight w:val="0"/>
      <w:marTop w:val="0"/>
      <w:marBottom w:val="0"/>
      <w:divBdr>
        <w:top w:val="none" w:sz="0" w:space="0" w:color="auto"/>
        <w:left w:val="none" w:sz="0" w:space="0" w:color="auto"/>
        <w:bottom w:val="none" w:sz="0" w:space="0" w:color="auto"/>
        <w:right w:val="none" w:sz="0" w:space="0" w:color="auto"/>
      </w:divBdr>
    </w:div>
    <w:div w:id="1180004654">
      <w:bodyDiv w:val="1"/>
      <w:marLeft w:val="0"/>
      <w:marRight w:val="0"/>
      <w:marTop w:val="0"/>
      <w:marBottom w:val="0"/>
      <w:divBdr>
        <w:top w:val="none" w:sz="0" w:space="0" w:color="auto"/>
        <w:left w:val="none" w:sz="0" w:space="0" w:color="auto"/>
        <w:bottom w:val="none" w:sz="0" w:space="0" w:color="auto"/>
        <w:right w:val="none" w:sz="0" w:space="0" w:color="auto"/>
      </w:divBdr>
    </w:div>
    <w:div w:id="1198153318">
      <w:bodyDiv w:val="1"/>
      <w:marLeft w:val="0"/>
      <w:marRight w:val="0"/>
      <w:marTop w:val="0"/>
      <w:marBottom w:val="0"/>
      <w:divBdr>
        <w:top w:val="none" w:sz="0" w:space="0" w:color="auto"/>
        <w:left w:val="none" w:sz="0" w:space="0" w:color="auto"/>
        <w:bottom w:val="none" w:sz="0" w:space="0" w:color="auto"/>
        <w:right w:val="none" w:sz="0" w:space="0" w:color="auto"/>
      </w:divBdr>
    </w:div>
    <w:div w:id="1200167802">
      <w:bodyDiv w:val="1"/>
      <w:marLeft w:val="0"/>
      <w:marRight w:val="0"/>
      <w:marTop w:val="0"/>
      <w:marBottom w:val="0"/>
      <w:divBdr>
        <w:top w:val="none" w:sz="0" w:space="0" w:color="auto"/>
        <w:left w:val="none" w:sz="0" w:space="0" w:color="auto"/>
        <w:bottom w:val="none" w:sz="0" w:space="0" w:color="auto"/>
        <w:right w:val="none" w:sz="0" w:space="0" w:color="auto"/>
      </w:divBdr>
    </w:div>
    <w:div w:id="1200431735">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1309784">
      <w:bodyDiv w:val="1"/>
      <w:marLeft w:val="0"/>
      <w:marRight w:val="0"/>
      <w:marTop w:val="0"/>
      <w:marBottom w:val="0"/>
      <w:divBdr>
        <w:top w:val="none" w:sz="0" w:space="0" w:color="auto"/>
        <w:left w:val="none" w:sz="0" w:space="0" w:color="auto"/>
        <w:bottom w:val="none" w:sz="0" w:space="0" w:color="auto"/>
        <w:right w:val="none" w:sz="0" w:space="0" w:color="auto"/>
      </w:divBdr>
    </w:div>
    <w:div w:id="1212378344">
      <w:bodyDiv w:val="1"/>
      <w:marLeft w:val="0"/>
      <w:marRight w:val="0"/>
      <w:marTop w:val="0"/>
      <w:marBottom w:val="0"/>
      <w:divBdr>
        <w:top w:val="none" w:sz="0" w:space="0" w:color="auto"/>
        <w:left w:val="none" w:sz="0" w:space="0" w:color="auto"/>
        <w:bottom w:val="none" w:sz="0" w:space="0" w:color="auto"/>
        <w:right w:val="none" w:sz="0" w:space="0" w:color="auto"/>
      </w:divBdr>
    </w:div>
    <w:div w:id="1219778468">
      <w:bodyDiv w:val="1"/>
      <w:marLeft w:val="0"/>
      <w:marRight w:val="0"/>
      <w:marTop w:val="0"/>
      <w:marBottom w:val="0"/>
      <w:divBdr>
        <w:top w:val="none" w:sz="0" w:space="0" w:color="auto"/>
        <w:left w:val="none" w:sz="0" w:space="0" w:color="auto"/>
        <w:bottom w:val="none" w:sz="0" w:space="0" w:color="auto"/>
        <w:right w:val="none" w:sz="0" w:space="0" w:color="auto"/>
      </w:divBdr>
    </w:div>
    <w:div w:id="1222525318">
      <w:bodyDiv w:val="1"/>
      <w:marLeft w:val="0"/>
      <w:marRight w:val="0"/>
      <w:marTop w:val="0"/>
      <w:marBottom w:val="0"/>
      <w:divBdr>
        <w:top w:val="none" w:sz="0" w:space="0" w:color="auto"/>
        <w:left w:val="none" w:sz="0" w:space="0" w:color="auto"/>
        <w:bottom w:val="none" w:sz="0" w:space="0" w:color="auto"/>
        <w:right w:val="none" w:sz="0" w:space="0" w:color="auto"/>
      </w:divBdr>
    </w:div>
    <w:div w:id="1225876846">
      <w:bodyDiv w:val="1"/>
      <w:marLeft w:val="0"/>
      <w:marRight w:val="0"/>
      <w:marTop w:val="0"/>
      <w:marBottom w:val="0"/>
      <w:divBdr>
        <w:top w:val="none" w:sz="0" w:space="0" w:color="auto"/>
        <w:left w:val="none" w:sz="0" w:space="0" w:color="auto"/>
        <w:bottom w:val="none" w:sz="0" w:space="0" w:color="auto"/>
        <w:right w:val="none" w:sz="0" w:space="0" w:color="auto"/>
      </w:divBdr>
    </w:div>
    <w:div w:id="1226260144">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32888933">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44294794">
      <w:bodyDiv w:val="1"/>
      <w:marLeft w:val="0"/>
      <w:marRight w:val="0"/>
      <w:marTop w:val="0"/>
      <w:marBottom w:val="0"/>
      <w:divBdr>
        <w:top w:val="none" w:sz="0" w:space="0" w:color="auto"/>
        <w:left w:val="none" w:sz="0" w:space="0" w:color="auto"/>
        <w:bottom w:val="none" w:sz="0" w:space="0" w:color="auto"/>
        <w:right w:val="none" w:sz="0" w:space="0" w:color="auto"/>
      </w:divBdr>
    </w:div>
    <w:div w:id="1245384734">
      <w:bodyDiv w:val="1"/>
      <w:marLeft w:val="0"/>
      <w:marRight w:val="0"/>
      <w:marTop w:val="0"/>
      <w:marBottom w:val="0"/>
      <w:divBdr>
        <w:top w:val="none" w:sz="0" w:space="0" w:color="auto"/>
        <w:left w:val="none" w:sz="0" w:space="0" w:color="auto"/>
        <w:bottom w:val="none" w:sz="0" w:space="0" w:color="auto"/>
        <w:right w:val="none" w:sz="0" w:space="0" w:color="auto"/>
      </w:divBdr>
    </w:div>
    <w:div w:id="1260061254">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6911562">
      <w:bodyDiv w:val="1"/>
      <w:marLeft w:val="0"/>
      <w:marRight w:val="0"/>
      <w:marTop w:val="0"/>
      <w:marBottom w:val="0"/>
      <w:divBdr>
        <w:top w:val="none" w:sz="0" w:space="0" w:color="auto"/>
        <w:left w:val="none" w:sz="0" w:space="0" w:color="auto"/>
        <w:bottom w:val="none" w:sz="0" w:space="0" w:color="auto"/>
        <w:right w:val="none" w:sz="0" w:space="0" w:color="auto"/>
      </w:divBdr>
    </w:div>
    <w:div w:id="1297177218">
      <w:bodyDiv w:val="1"/>
      <w:marLeft w:val="0"/>
      <w:marRight w:val="0"/>
      <w:marTop w:val="0"/>
      <w:marBottom w:val="0"/>
      <w:divBdr>
        <w:top w:val="none" w:sz="0" w:space="0" w:color="auto"/>
        <w:left w:val="none" w:sz="0" w:space="0" w:color="auto"/>
        <w:bottom w:val="none" w:sz="0" w:space="0" w:color="auto"/>
        <w:right w:val="none" w:sz="0" w:space="0" w:color="auto"/>
      </w:divBdr>
    </w:div>
    <w:div w:id="1303000484">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62584225">
      <w:bodyDiv w:val="1"/>
      <w:marLeft w:val="0"/>
      <w:marRight w:val="0"/>
      <w:marTop w:val="0"/>
      <w:marBottom w:val="0"/>
      <w:divBdr>
        <w:top w:val="none" w:sz="0" w:space="0" w:color="auto"/>
        <w:left w:val="none" w:sz="0" w:space="0" w:color="auto"/>
        <w:bottom w:val="none" w:sz="0" w:space="0" w:color="auto"/>
        <w:right w:val="none" w:sz="0" w:space="0" w:color="auto"/>
      </w:divBdr>
    </w:div>
    <w:div w:id="136520959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392848566">
      <w:bodyDiv w:val="1"/>
      <w:marLeft w:val="0"/>
      <w:marRight w:val="0"/>
      <w:marTop w:val="0"/>
      <w:marBottom w:val="0"/>
      <w:divBdr>
        <w:top w:val="none" w:sz="0" w:space="0" w:color="auto"/>
        <w:left w:val="none" w:sz="0" w:space="0" w:color="auto"/>
        <w:bottom w:val="none" w:sz="0" w:space="0" w:color="auto"/>
        <w:right w:val="none" w:sz="0" w:space="0" w:color="auto"/>
      </w:divBdr>
    </w:div>
    <w:div w:id="1394280938">
      <w:bodyDiv w:val="1"/>
      <w:marLeft w:val="0"/>
      <w:marRight w:val="0"/>
      <w:marTop w:val="0"/>
      <w:marBottom w:val="0"/>
      <w:divBdr>
        <w:top w:val="none" w:sz="0" w:space="0" w:color="auto"/>
        <w:left w:val="none" w:sz="0" w:space="0" w:color="auto"/>
        <w:bottom w:val="none" w:sz="0" w:space="0" w:color="auto"/>
        <w:right w:val="none" w:sz="0" w:space="0" w:color="auto"/>
      </w:divBdr>
    </w:div>
    <w:div w:id="1394354052">
      <w:bodyDiv w:val="1"/>
      <w:marLeft w:val="0"/>
      <w:marRight w:val="0"/>
      <w:marTop w:val="0"/>
      <w:marBottom w:val="0"/>
      <w:divBdr>
        <w:top w:val="none" w:sz="0" w:space="0" w:color="auto"/>
        <w:left w:val="none" w:sz="0" w:space="0" w:color="auto"/>
        <w:bottom w:val="none" w:sz="0" w:space="0" w:color="auto"/>
        <w:right w:val="none" w:sz="0" w:space="0" w:color="auto"/>
      </w:divBdr>
    </w:div>
    <w:div w:id="1408306139">
      <w:bodyDiv w:val="1"/>
      <w:marLeft w:val="0"/>
      <w:marRight w:val="0"/>
      <w:marTop w:val="0"/>
      <w:marBottom w:val="0"/>
      <w:divBdr>
        <w:top w:val="none" w:sz="0" w:space="0" w:color="auto"/>
        <w:left w:val="none" w:sz="0" w:space="0" w:color="auto"/>
        <w:bottom w:val="none" w:sz="0" w:space="0" w:color="auto"/>
        <w:right w:val="none" w:sz="0" w:space="0" w:color="auto"/>
      </w:divBdr>
    </w:div>
    <w:div w:id="1424646613">
      <w:bodyDiv w:val="1"/>
      <w:marLeft w:val="0"/>
      <w:marRight w:val="0"/>
      <w:marTop w:val="0"/>
      <w:marBottom w:val="0"/>
      <w:divBdr>
        <w:top w:val="none" w:sz="0" w:space="0" w:color="auto"/>
        <w:left w:val="none" w:sz="0" w:space="0" w:color="auto"/>
        <w:bottom w:val="none" w:sz="0" w:space="0" w:color="auto"/>
        <w:right w:val="none" w:sz="0" w:space="0" w:color="auto"/>
      </w:divBdr>
    </w:div>
    <w:div w:id="1428847712">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37410303">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984646">
      <w:bodyDiv w:val="1"/>
      <w:marLeft w:val="0"/>
      <w:marRight w:val="0"/>
      <w:marTop w:val="0"/>
      <w:marBottom w:val="0"/>
      <w:divBdr>
        <w:top w:val="none" w:sz="0" w:space="0" w:color="auto"/>
        <w:left w:val="none" w:sz="0" w:space="0" w:color="auto"/>
        <w:bottom w:val="none" w:sz="0" w:space="0" w:color="auto"/>
        <w:right w:val="none" w:sz="0" w:space="0" w:color="auto"/>
      </w:divBdr>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01195570">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27140800">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52840119">
      <w:bodyDiv w:val="1"/>
      <w:marLeft w:val="0"/>
      <w:marRight w:val="0"/>
      <w:marTop w:val="0"/>
      <w:marBottom w:val="0"/>
      <w:divBdr>
        <w:top w:val="none" w:sz="0" w:space="0" w:color="auto"/>
        <w:left w:val="none" w:sz="0" w:space="0" w:color="auto"/>
        <w:bottom w:val="none" w:sz="0" w:space="0" w:color="auto"/>
        <w:right w:val="none" w:sz="0" w:space="0" w:color="auto"/>
      </w:divBdr>
    </w:div>
    <w:div w:id="1556426721">
      <w:bodyDiv w:val="1"/>
      <w:marLeft w:val="0"/>
      <w:marRight w:val="0"/>
      <w:marTop w:val="0"/>
      <w:marBottom w:val="0"/>
      <w:divBdr>
        <w:top w:val="none" w:sz="0" w:space="0" w:color="auto"/>
        <w:left w:val="none" w:sz="0" w:space="0" w:color="auto"/>
        <w:bottom w:val="none" w:sz="0" w:space="0" w:color="auto"/>
        <w:right w:val="none" w:sz="0" w:space="0" w:color="auto"/>
      </w:divBdr>
    </w:div>
    <w:div w:id="1577737620">
      <w:bodyDiv w:val="1"/>
      <w:marLeft w:val="0"/>
      <w:marRight w:val="0"/>
      <w:marTop w:val="0"/>
      <w:marBottom w:val="0"/>
      <w:divBdr>
        <w:top w:val="none" w:sz="0" w:space="0" w:color="auto"/>
        <w:left w:val="none" w:sz="0" w:space="0" w:color="auto"/>
        <w:bottom w:val="none" w:sz="0" w:space="0" w:color="auto"/>
        <w:right w:val="none" w:sz="0" w:space="0" w:color="auto"/>
      </w:divBdr>
    </w:div>
    <w:div w:id="1582375167">
      <w:bodyDiv w:val="1"/>
      <w:marLeft w:val="0"/>
      <w:marRight w:val="0"/>
      <w:marTop w:val="0"/>
      <w:marBottom w:val="0"/>
      <w:divBdr>
        <w:top w:val="none" w:sz="0" w:space="0" w:color="auto"/>
        <w:left w:val="none" w:sz="0" w:space="0" w:color="auto"/>
        <w:bottom w:val="none" w:sz="0" w:space="0" w:color="auto"/>
        <w:right w:val="none" w:sz="0" w:space="0" w:color="auto"/>
      </w:divBdr>
    </w:div>
    <w:div w:id="1598059961">
      <w:bodyDiv w:val="1"/>
      <w:marLeft w:val="0"/>
      <w:marRight w:val="0"/>
      <w:marTop w:val="0"/>
      <w:marBottom w:val="0"/>
      <w:divBdr>
        <w:top w:val="none" w:sz="0" w:space="0" w:color="auto"/>
        <w:left w:val="none" w:sz="0" w:space="0" w:color="auto"/>
        <w:bottom w:val="none" w:sz="0" w:space="0" w:color="auto"/>
        <w:right w:val="none" w:sz="0" w:space="0" w:color="auto"/>
      </w:divBdr>
    </w:div>
    <w:div w:id="1602487527">
      <w:bodyDiv w:val="1"/>
      <w:marLeft w:val="0"/>
      <w:marRight w:val="0"/>
      <w:marTop w:val="0"/>
      <w:marBottom w:val="0"/>
      <w:divBdr>
        <w:top w:val="none" w:sz="0" w:space="0" w:color="auto"/>
        <w:left w:val="none" w:sz="0" w:space="0" w:color="auto"/>
        <w:bottom w:val="none" w:sz="0" w:space="0" w:color="auto"/>
        <w:right w:val="none" w:sz="0" w:space="0" w:color="auto"/>
      </w:divBdr>
    </w:div>
    <w:div w:id="1604722584">
      <w:bodyDiv w:val="1"/>
      <w:marLeft w:val="0"/>
      <w:marRight w:val="0"/>
      <w:marTop w:val="0"/>
      <w:marBottom w:val="0"/>
      <w:divBdr>
        <w:top w:val="none" w:sz="0" w:space="0" w:color="auto"/>
        <w:left w:val="none" w:sz="0" w:space="0" w:color="auto"/>
        <w:bottom w:val="none" w:sz="0" w:space="0" w:color="auto"/>
        <w:right w:val="none" w:sz="0" w:space="0" w:color="auto"/>
      </w:divBdr>
    </w:div>
    <w:div w:id="1608846662">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38948224">
      <w:bodyDiv w:val="1"/>
      <w:marLeft w:val="0"/>
      <w:marRight w:val="0"/>
      <w:marTop w:val="0"/>
      <w:marBottom w:val="0"/>
      <w:divBdr>
        <w:top w:val="none" w:sz="0" w:space="0" w:color="auto"/>
        <w:left w:val="none" w:sz="0" w:space="0" w:color="auto"/>
        <w:bottom w:val="none" w:sz="0" w:space="0" w:color="auto"/>
        <w:right w:val="none" w:sz="0" w:space="0" w:color="auto"/>
      </w:divBdr>
    </w:div>
    <w:div w:id="1670674633">
      <w:bodyDiv w:val="1"/>
      <w:marLeft w:val="0"/>
      <w:marRight w:val="0"/>
      <w:marTop w:val="0"/>
      <w:marBottom w:val="0"/>
      <w:divBdr>
        <w:top w:val="none" w:sz="0" w:space="0" w:color="auto"/>
        <w:left w:val="none" w:sz="0" w:space="0" w:color="auto"/>
        <w:bottom w:val="none" w:sz="0" w:space="0" w:color="auto"/>
        <w:right w:val="none" w:sz="0" w:space="0" w:color="auto"/>
      </w:divBdr>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680816148">
      <w:bodyDiv w:val="1"/>
      <w:marLeft w:val="0"/>
      <w:marRight w:val="0"/>
      <w:marTop w:val="0"/>
      <w:marBottom w:val="0"/>
      <w:divBdr>
        <w:top w:val="none" w:sz="0" w:space="0" w:color="auto"/>
        <w:left w:val="none" w:sz="0" w:space="0" w:color="auto"/>
        <w:bottom w:val="none" w:sz="0" w:space="0" w:color="auto"/>
        <w:right w:val="none" w:sz="0" w:space="0" w:color="auto"/>
      </w:divBdr>
    </w:div>
    <w:div w:id="1683122786">
      <w:bodyDiv w:val="1"/>
      <w:marLeft w:val="0"/>
      <w:marRight w:val="0"/>
      <w:marTop w:val="0"/>
      <w:marBottom w:val="0"/>
      <w:divBdr>
        <w:top w:val="none" w:sz="0" w:space="0" w:color="auto"/>
        <w:left w:val="none" w:sz="0" w:space="0" w:color="auto"/>
        <w:bottom w:val="none" w:sz="0" w:space="0" w:color="auto"/>
        <w:right w:val="none" w:sz="0" w:space="0" w:color="auto"/>
      </w:divBdr>
    </w:div>
    <w:div w:id="1683701703">
      <w:bodyDiv w:val="1"/>
      <w:marLeft w:val="0"/>
      <w:marRight w:val="0"/>
      <w:marTop w:val="0"/>
      <w:marBottom w:val="0"/>
      <w:divBdr>
        <w:top w:val="none" w:sz="0" w:space="0" w:color="auto"/>
        <w:left w:val="none" w:sz="0" w:space="0" w:color="auto"/>
        <w:bottom w:val="none" w:sz="0" w:space="0" w:color="auto"/>
        <w:right w:val="none" w:sz="0" w:space="0" w:color="auto"/>
      </w:divBdr>
    </w:div>
    <w:div w:id="1685980555">
      <w:bodyDiv w:val="1"/>
      <w:marLeft w:val="0"/>
      <w:marRight w:val="0"/>
      <w:marTop w:val="0"/>
      <w:marBottom w:val="0"/>
      <w:divBdr>
        <w:top w:val="none" w:sz="0" w:space="0" w:color="auto"/>
        <w:left w:val="none" w:sz="0" w:space="0" w:color="auto"/>
        <w:bottom w:val="none" w:sz="0" w:space="0" w:color="auto"/>
        <w:right w:val="none" w:sz="0" w:space="0" w:color="auto"/>
      </w:divBdr>
    </w:div>
    <w:div w:id="1692299300">
      <w:bodyDiv w:val="1"/>
      <w:marLeft w:val="0"/>
      <w:marRight w:val="0"/>
      <w:marTop w:val="0"/>
      <w:marBottom w:val="0"/>
      <w:divBdr>
        <w:top w:val="none" w:sz="0" w:space="0" w:color="auto"/>
        <w:left w:val="none" w:sz="0" w:space="0" w:color="auto"/>
        <w:bottom w:val="none" w:sz="0" w:space="0" w:color="auto"/>
        <w:right w:val="none" w:sz="0" w:space="0" w:color="auto"/>
      </w:divBdr>
    </w:div>
    <w:div w:id="1694646231">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17389309">
      <w:bodyDiv w:val="1"/>
      <w:marLeft w:val="0"/>
      <w:marRight w:val="0"/>
      <w:marTop w:val="0"/>
      <w:marBottom w:val="0"/>
      <w:divBdr>
        <w:top w:val="none" w:sz="0" w:space="0" w:color="auto"/>
        <w:left w:val="none" w:sz="0" w:space="0" w:color="auto"/>
        <w:bottom w:val="none" w:sz="0" w:space="0" w:color="auto"/>
        <w:right w:val="none" w:sz="0" w:space="0" w:color="auto"/>
      </w:divBdr>
    </w:div>
    <w:div w:id="1758558699">
      <w:bodyDiv w:val="1"/>
      <w:marLeft w:val="0"/>
      <w:marRight w:val="0"/>
      <w:marTop w:val="0"/>
      <w:marBottom w:val="0"/>
      <w:divBdr>
        <w:top w:val="none" w:sz="0" w:space="0" w:color="auto"/>
        <w:left w:val="none" w:sz="0" w:space="0" w:color="auto"/>
        <w:bottom w:val="none" w:sz="0" w:space="0" w:color="auto"/>
        <w:right w:val="none" w:sz="0" w:space="0" w:color="auto"/>
      </w:divBdr>
    </w:div>
    <w:div w:id="1759249594">
      <w:bodyDiv w:val="1"/>
      <w:marLeft w:val="0"/>
      <w:marRight w:val="0"/>
      <w:marTop w:val="0"/>
      <w:marBottom w:val="0"/>
      <w:divBdr>
        <w:top w:val="none" w:sz="0" w:space="0" w:color="auto"/>
        <w:left w:val="none" w:sz="0" w:space="0" w:color="auto"/>
        <w:bottom w:val="none" w:sz="0" w:space="0" w:color="auto"/>
        <w:right w:val="none" w:sz="0" w:space="0" w:color="auto"/>
      </w:divBdr>
    </w:div>
    <w:div w:id="1766413349">
      <w:bodyDiv w:val="1"/>
      <w:marLeft w:val="0"/>
      <w:marRight w:val="0"/>
      <w:marTop w:val="0"/>
      <w:marBottom w:val="0"/>
      <w:divBdr>
        <w:top w:val="none" w:sz="0" w:space="0" w:color="auto"/>
        <w:left w:val="none" w:sz="0" w:space="0" w:color="auto"/>
        <w:bottom w:val="none" w:sz="0" w:space="0" w:color="auto"/>
        <w:right w:val="none" w:sz="0" w:space="0" w:color="auto"/>
      </w:divBdr>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793553783">
      <w:bodyDiv w:val="1"/>
      <w:marLeft w:val="0"/>
      <w:marRight w:val="0"/>
      <w:marTop w:val="0"/>
      <w:marBottom w:val="0"/>
      <w:divBdr>
        <w:top w:val="none" w:sz="0" w:space="0" w:color="auto"/>
        <w:left w:val="none" w:sz="0" w:space="0" w:color="auto"/>
        <w:bottom w:val="none" w:sz="0" w:space="0" w:color="auto"/>
        <w:right w:val="none" w:sz="0" w:space="0" w:color="auto"/>
      </w:divBdr>
    </w:div>
    <w:div w:id="1801872417">
      <w:bodyDiv w:val="1"/>
      <w:marLeft w:val="0"/>
      <w:marRight w:val="0"/>
      <w:marTop w:val="0"/>
      <w:marBottom w:val="0"/>
      <w:divBdr>
        <w:top w:val="none" w:sz="0" w:space="0" w:color="auto"/>
        <w:left w:val="none" w:sz="0" w:space="0" w:color="auto"/>
        <w:bottom w:val="none" w:sz="0" w:space="0" w:color="auto"/>
        <w:right w:val="none" w:sz="0" w:space="0" w:color="auto"/>
      </w:divBdr>
    </w:div>
    <w:div w:id="1810434326">
      <w:bodyDiv w:val="1"/>
      <w:marLeft w:val="0"/>
      <w:marRight w:val="0"/>
      <w:marTop w:val="0"/>
      <w:marBottom w:val="0"/>
      <w:divBdr>
        <w:top w:val="none" w:sz="0" w:space="0" w:color="auto"/>
        <w:left w:val="none" w:sz="0" w:space="0" w:color="auto"/>
        <w:bottom w:val="none" w:sz="0" w:space="0" w:color="auto"/>
        <w:right w:val="none" w:sz="0" w:space="0" w:color="auto"/>
      </w:divBdr>
    </w:div>
    <w:div w:id="1818959392">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867326203">
      <w:bodyDiv w:val="1"/>
      <w:marLeft w:val="0"/>
      <w:marRight w:val="0"/>
      <w:marTop w:val="0"/>
      <w:marBottom w:val="0"/>
      <w:divBdr>
        <w:top w:val="none" w:sz="0" w:space="0" w:color="auto"/>
        <w:left w:val="none" w:sz="0" w:space="0" w:color="auto"/>
        <w:bottom w:val="none" w:sz="0" w:space="0" w:color="auto"/>
        <w:right w:val="none" w:sz="0" w:space="0" w:color="auto"/>
      </w:divBdr>
    </w:div>
    <w:div w:id="1882745953">
      <w:bodyDiv w:val="1"/>
      <w:marLeft w:val="0"/>
      <w:marRight w:val="0"/>
      <w:marTop w:val="0"/>
      <w:marBottom w:val="0"/>
      <w:divBdr>
        <w:top w:val="none" w:sz="0" w:space="0" w:color="auto"/>
        <w:left w:val="none" w:sz="0" w:space="0" w:color="auto"/>
        <w:bottom w:val="none" w:sz="0" w:space="0" w:color="auto"/>
        <w:right w:val="none" w:sz="0" w:space="0" w:color="auto"/>
      </w:divBdr>
    </w:div>
    <w:div w:id="1885630142">
      <w:bodyDiv w:val="1"/>
      <w:marLeft w:val="0"/>
      <w:marRight w:val="0"/>
      <w:marTop w:val="0"/>
      <w:marBottom w:val="0"/>
      <w:divBdr>
        <w:top w:val="none" w:sz="0" w:space="0" w:color="auto"/>
        <w:left w:val="none" w:sz="0" w:space="0" w:color="auto"/>
        <w:bottom w:val="none" w:sz="0" w:space="0" w:color="auto"/>
        <w:right w:val="none" w:sz="0" w:space="0" w:color="auto"/>
      </w:divBdr>
    </w:div>
    <w:div w:id="1886135862">
      <w:bodyDiv w:val="1"/>
      <w:marLeft w:val="0"/>
      <w:marRight w:val="0"/>
      <w:marTop w:val="0"/>
      <w:marBottom w:val="0"/>
      <w:divBdr>
        <w:top w:val="none" w:sz="0" w:space="0" w:color="auto"/>
        <w:left w:val="none" w:sz="0" w:space="0" w:color="auto"/>
        <w:bottom w:val="none" w:sz="0" w:space="0" w:color="auto"/>
        <w:right w:val="none" w:sz="0" w:space="0" w:color="auto"/>
      </w:divBdr>
    </w:div>
    <w:div w:id="1893343298">
      <w:bodyDiv w:val="1"/>
      <w:marLeft w:val="0"/>
      <w:marRight w:val="0"/>
      <w:marTop w:val="0"/>
      <w:marBottom w:val="0"/>
      <w:divBdr>
        <w:top w:val="none" w:sz="0" w:space="0" w:color="auto"/>
        <w:left w:val="none" w:sz="0" w:space="0" w:color="auto"/>
        <w:bottom w:val="none" w:sz="0" w:space="0" w:color="auto"/>
        <w:right w:val="none" w:sz="0" w:space="0" w:color="auto"/>
      </w:divBdr>
    </w:div>
    <w:div w:id="1900169022">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4414716">
      <w:bodyDiv w:val="1"/>
      <w:marLeft w:val="0"/>
      <w:marRight w:val="0"/>
      <w:marTop w:val="0"/>
      <w:marBottom w:val="0"/>
      <w:divBdr>
        <w:top w:val="none" w:sz="0" w:space="0" w:color="auto"/>
        <w:left w:val="none" w:sz="0" w:space="0" w:color="auto"/>
        <w:bottom w:val="none" w:sz="0" w:space="0" w:color="auto"/>
        <w:right w:val="none" w:sz="0" w:space="0" w:color="auto"/>
      </w:divBdr>
    </w:div>
    <w:div w:id="1923833175">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29383117">
      <w:bodyDiv w:val="1"/>
      <w:marLeft w:val="0"/>
      <w:marRight w:val="0"/>
      <w:marTop w:val="0"/>
      <w:marBottom w:val="0"/>
      <w:divBdr>
        <w:top w:val="none" w:sz="0" w:space="0" w:color="auto"/>
        <w:left w:val="none" w:sz="0" w:space="0" w:color="auto"/>
        <w:bottom w:val="none" w:sz="0" w:space="0" w:color="auto"/>
        <w:right w:val="none" w:sz="0" w:space="0" w:color="auto"/>
      </w:divBdr>
    </w:div>
    <w:div w:id="1946695434">
      <w:bodyDiv w:val="1"/>
      <w:marLeft w:val="0"/>
      <w:marRight w:val="0"/>
      <w:marTop w:val="0"/>
      <w:marBottom w:val="0"/>
      <w:divBdr>
        <w:top w:val="none" w:sz="0" w:space="0" w:color="auto"/>
        <w:left w:val="none" w:sz="0" w:space="0" w:color="auto"/>
        <w:bottom w:val="none" w:sz="0" w:space="0" w:color="auto"/>
        <w:right w:val="none" w:sz="0" w:space="0" w:color="auto"/>
      </w:divBdr>
    </w:div>
    <w:div w:id="1959139709">
      <w:bodyDiv w:val="1"/>
      <w:marLeft w:val="0"/>
      <w:marRight w:val="0"/>
      <w:marTop w:val="0"/>
      <w:marBottom w:val="0"/>
      <w:divBdr>
        <w:top w:val="none" w:sz="0" w:space="0" w:color="auto"/>
        <w:left w:val="none" w:sz="0" w:space="0" w:color="auto"/>
        <w:bottom w:val="none" w:sz="0" w:space="0" w:color="auto"/>
        <w:right w:val="none" w:sz="0" w:space="0" w:color="auto"/>
      </w:divBdr>
    </w:div>
    <w:div w:id="1961183179">
      <w:bodyDiv w:val="1"/>
      <w:marLeft w:val="0"/>
      <w:marRight w:val="0"/>
      <w:marTop w:val="0"/>
      <w:marBottom w:val="0"/>
      <w:divBdr>
        <w:top w:val="none" w:sz="0" w:space="0" w:color="auto"/>
        <w:left w:val="none" w:sz="0" w:space="0" w:color="auto"/>
        <w:bottom w:val="none" w:sz="0" w:space="0" w:color="auto"/>
        <w:right w:val="none" w:sz="0" w:space="0" w:color="auto"/>
      </w:divBdr>
    </w:div>
    <w:div w:id="1971282128">
      <w:bodyDiv w:val="1"/>
      <w:marLeft w:val="0"/>
      <w:marRight w:val="0"/>
      <w:marTop w:val="0"/>
      <w:marBottom w:val="0"/>
      <w:divBdr>
        <w:top w:val="none" w:sz="0" w:space="0" w:color="auto"/>
        <w:left w:val="none" w:sz="0" w:space="0" w:color="auto"/>
        <w:bottom w:val="none" w:sz="0" w:space="0" w:color="auto"/>
        <w:right w:val="none" w:sz="0" w:space="0" w:color="auto"/>
      </w:divBdr>
    </w:div>
    <w:div w:id="1975987717">
      <w:bodyDiv w:val="1"/>
      <w:marLeft w:val="0"/>
      <w:marRight w:val="0"/>
      <w:marTop w:val="0"/>
      <w:marBottom w:val="0"/>
      <w:divBdr>
        <w:top w:val="none" w:sz="0" w:space="0" w:color="auto"/>
        <w:left w:val="none" w:sz="0" w:space="0" w:color="auto"/>
        <w:bottom w:val="none" w:sz="0" w:space="0" w:color="auto"/>
        <w:right w:val="none" w:sz="0" w:space="0" w:color="auto"/>
      </w:divBdr>
    </w:div>
    <w:div w:id="1988120163">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897228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13752175">
      <w:bodyDiv w:val="1"/>
      <w:marLeft w:val="0"/>
      <w:marRight w:val="0"/>
      <w:marTop w:val="0"/>
      <w:marBottom w:val="0"/>
      <w:divBdr>
        <w:top w:val="none" w:sz="0" w:space="0" w:color="auto"/>
        <w:left w:val="none" w:sz="0" w:space="0" w:color="auto"/>
        <w:bottom w:val="none" w:sz="0" w:space="0" w:color="auto"/>
        <w:right w:val="none" w:sz="0" w:space="0" w:color="auto"/>
      </w:divBdr>
    </w:div>
    <w:div w:id="2019648714">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24016602">
      <w:bodyDiv w:val="1"/>
      <w:marLeft w:val="0"/>
      <w:marRight w:val="0"/>
      <w:marTop w:val="0"/>
      <w:marBottom w:val="0"/>
      <w:divBdr>
        <w:top w:val="none" w:sz="0" w:space="0" w:color="auto"/>
        <w:left w:val="none" w:sz="0" w:space="0" w:color="auto"/>
        <w:bottom w:val="none" w:sz="0" w:space="0" w:color="auto"/>
        <w:right w:val="none" w:sz="0" w:space="0" w:color="auto"/>
      </w:divBdr>
    </w:div>
    <w:div w:id="2044862550">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68795105">
      <w:bodyDiv w:val="1"/>
      <w:marLeft w:val="0"/>
      <w:marRight w:val="0"/>
      <w:marTop w:val="0"/>
      <w:marBottom w:val="0"/>
      <w:divBdr>
        <w:top w:val="none" w:sz="0" w:space="0" w:color="auto"/>
        <w:left w:val="none" w:sz="0" w:space="0" w:color="auto"/>
        <w:bottom w:val="none" w:sz="0" w:space="0" w:color="auto"/>
        <w:right w:val="none" w:sz="0" w:space="0" w:color="auto"/>
      </w:divBdr>
    </w:div>
    <w:div w:id="2070034396">
      <w:bodyDiv w:val="1"/>
      <w:marLeft w:val="0"/>
      <w:marRight w:val="0"/>
      <w:marTop w:val="0"/>
      <w:marBottom w:val="0"/>
      <w:divBdr>
        <w:top w:val="none" w:sz="0" w:space="0" w:color="auto"/>
        <w:left w:val="none" w:sz="0" w:space="0" w:color="auto"/>
        <w:bottom w:val="none" w:sz="0" w:space="0" w:color="auto"/>
        <w:right w:val="none" w:sz="0" w:space="0" w:color="auto"/>
      </w:divBdr>
    </w:div>
    <w:div w:id="2072995749">
      <w:bodyDiv w:val="1"/>
      <w:marLeft w:val="0"/>
      <w:marRight w:val="0"/>
      <w:marTop w:val="0"/>
      <w:marBottom w:val="0"/>
      <w:divBdr>
        <w:top w:val="none" w:sz="0" w:space="0" w:color="auto"/>
        <w:left w:val="none" w:sz="0" w:space="0" w:color="auto"/>
        <w:bottom w:val="none" w:sz="0" w:space="0" w:color="auto"/>
        <w:right w:val="none" w:sz="0" w:space="0" w:color="auto"/>
      </w:divBdr>
    </w:div>
    <w:div w:id="2076008151">
      <w:bodyDiv w:val="1"/>
      <w:marLeft w:val="0"/>
      <w:marRight w:val="0"/>
      <w:marTop w:val="0"/>
      <w:marBottom w:val="0"/>
      <w:divBdr>
        <w:top w:val="none" w:sz="0" w:space="0" w:color="auto"/>
        <w:left w:val="none" w:sz="0" w:space="0" w:color="auto"/>
        <w:bottom w:val="none" w:sz="0" w:space="0" w:color="auto"/>
        <w:right w:val="none" w:sz="0" w:space="0" w:color="auto"/>
      </w:divBdr>
    </w:div>
    <w:div w:id="2095740901">
      <w:bodyDiv w:val="1"/>
      <w:marLeft w:val="0"/>
      <w:marRight w:val="0"/>
      <w:marTop w:val="0"/>
      <w:marBottom w:val="0"/>
      <w:divBdr>
        <w:top w:val="none" w:sz="0" w:space="0" w:color="auto"/>
        <w:left w:val="none" w:sz="0" w:space="0" w:color="auto"/>
        <w:bottom w:val="none" w:sz="0" w:space="0" w:color="auto"/>
        <w:right w:val="none" w:sz="0" w:space="0" w:color="auto"/>
      </w:divBdr>
    </w:div>
    <w:div w:id="2118064742">
      <w:bodyDiv w:val="1"/>
      <w:marLeft w:val="0"/>
      <w:marRight w:val="0"/>
      <w:marTop w:val="0"/>
      <w:marBottom w:val="0"/>
      <w:divBdr>
        <w:top w:val="none" w:sz="0" w:space="0" w:color="auto"/>
        <w:left w:val="none" w:sz="0" w:space="0" w:color="auto"/>
        <w:bottom w:val="none" w:sz="0" w:space="0" w:color="auto"/>
        <w:right w:val="none" w:sz="0" w:space="0" w:color="auto"/>
      </w:divBdr>
    </w:div>
    <w:div w:id="214592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3GP171</b:Tag>
    <b:SourceType>ElectronicSource</b:SourceType>
    <b:Guid>{D5F53A63-3EE1-4FF9-914B-9C8180D4EC21}</b:Guid>
    <b:Author>
      <b:Author>
        <b:Corporate>3GPP S4-170746</b:Corporate>
      </b:Author>
    </b:Author>
    <b:Title>New WID on Test Methodologies for Evaluation of perceived Listening Quality in Immersive Audio Systems</b:Title>
    <b:City>Sophia-Antipolis, France</b:City>
    <b:Publisher>Qualcomm Incorporated, HEAD acoustics GmbH, Sony Mobile Communications, Fraunhofer IIS, Huawei Technologies Co. Ltd., Ericsson LM</b:Publisher>
    <b:Year>26-30 June 2017</b:Year>
    <b:RefOrder>1</b:RefOrder>
  </b:Source>
  <b:Source>
    <b:Tag>LiQuImASTestMethod</b:Tag>
    <b:SourceType>ElectronicSource</b:SourceType>
    <b:Guid>{ED374867-874D-44FF-A42D-3927DFF5AC05}</b:Guid>
    <b:Title>Test Methodology for the Assessment of Audio Systems</b:Title>
    <b:Author>
      <b:Author>
        <b:Corporate>3GPP S4-170836</b:Corporate>
      </b:Author>
    </b:Author>
    <b:City>Belgrade, Serbia</b:City>
    <b:Year>09-13 October 2017</b:Year>
    <b:Publisher>HEAD acoustics GmbH</b:Publisher>
    <b:RefOrder>2</b:RefOrder>
  </b:Source>
  <b:Source>
    <b:Tag>Tsu11</b:Tag>
    <b:SourceType>Report</b:SourceType>
    <b:Guid>{2BD77A01-6E2A-4F6A-BDBD-38D5031712C7}</b:Guid>
    <b:Title>How to analyze paired comparison data</b:Title>
    <b:City>Seattle</b:City>
    <b:Publisher>Department of Electrical Engineering, University of Washington</b:Publisher>
    <b:Year>2011</b:Year>
    <b:Author>
      <b:Author>
        <b:NameList>
          <b:Person>
            <b:Last>Tsukida</b:Last>
            <b:First>Kristi</b:First>
          </b:Person>
          <b:Person>
            <b:Last>Gupta</b:Last>
            <b:First>Maya</b:First>
          </b:Person>
        </b:NameList>
      </b:Author>
    </b:Author>
    <b:RefOrder>3</b:RefOrder>
  </b:Source>
  <b:Source>
    <b:Tag>3GP4</b:Tag>
    <b:SourceType>ElectronicSource</b:SourceType>
    <b:Guid>{CFC18261-E6D6-4701-AC4B-73ADD3422E6E}</b:Guid>
    <b:Author>
      <b:Author>
        <b:Corporate>3GPP S4-171225</b:Corporate>
      </b:Author>
    </b:Author>
    <b:Title>On spatial audio quality assessment</b:Title>
    <b:City>Albuquerque, New Mexico (US)</b:City>
    <b:Year>2017</b:Year>
    <b:Publisher>Orange S.A.</b:Publisher>
    <b:RefOrder>4</b:RefOrder>
  </b:Source>
</b:Sources>
</file>

<file path=customXml/itemProps1.xml><?xml version="1.0" encoding="utf-8"?>
<ds:datastoreItem xmlns:ds="http://schemas.openxmlformats.org/officeDocument/2006/customXml" ds:itemID="{655F4BDA-36D9-41A6-999D-0D5D82144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2058</Words>
  <Characters>11737</Characters>
  <Application>Microsoft Office Word</Application>
  <DocSecurity>0</DocSecurity>
  <Lines>97</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Agenda SA4#89</vt:lpstr>
      <vt:lpstr>Agenda SA4#89</vt:lpstr>
    </vt:vector>
  </TitlesOfParts>
  <Company>Nokia</Company>
  <LinksUpToDate>false</LinksUpToDate>
  <CharactersWithSpaces>13768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SA4#89</dc:title>
  <dc:subject/>
  <dc:creator>Kari Järvinen</dc:creator>
  <cp:keywords/>
  <cp:lastModifiedBy>Reimes, Jan</cp:lastModifiedBy>
  <cp:revision>34</cp:revision>
  <cp:lastPrinted>2016-05-03T09:51:00Z</cp:lastPrinted>
  <dcterms:created xsi:type="dcterms:W3CDTF">2018-01-17T14:58:00Z</dcterms:created>
  <dcterms:modified xsi:type="dcterms:W3CDTF">2018-01-30T15:46:00Z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